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FA3B" w14:textId="522F2F34" w:rsidR="00E848FE" w:rsidRPr="005658FB" w:rsidRDefault="00E848FE" w:rsidP="000562A4">
      <w:pPr>
        <w:spacing w:after="0"/>
        <w:jc w:val="center"/>
        <w:rPr>
          <w:b/>
          <w:bCs/>
          <w:color w:val="215E99" w:themeColor="text2" w:themeTint="BF"/>
          <w:sz w:val="40"/>
          <w:szCs w:val="40"/>
        </w:rPr>
      </w:pPr>
      <w:r w:rsidRPr="005658FB">
        <w:rPr>
          <w:b/>
          <w:bCs/>
          <w:color w:val="215E99" w:themeColor="text2" w:themeTint="BF"/>
          <w:sz w:val="40"/>
          <w:szCs w:val="40"/>
        </w:rPr>
        <w:t xml:space="preserve">Dual Use Research of Concern </w:t>
      </w:r>
      <w:r w:rsidR="005658FB" w:rsidRPr="005658FB">
        <w:rPr>
          <w:b/>
          <w:bCs/>
          <w:color w:val="215E99" w:themeColor="text2" w:themeTint="BF"/>
          <w:sz w:val="40"/>
          <w:szCs w:val="40"/>
        </w:rPr>
        <w:t>and Pathogens with Enhanced Pandemic Potential</w:t>
      </w:r>
    </w:p>
    <w:p w14:paraId="7581E076" w14:textId="52E98BF4" w:rsidR="00E848FE" w:rsidRDefault="008D1B9D" w:rsidP="00D067FE">
      <w:pPr>
        <w:spacing w:after="120"/>
      </w:pPr>
      <w:r>
        <w:t>Effective May 6, 2025, t</w:t>
      </w:r>
      <w:r w:rsidR="0074725E">
        <w:t>he</w:t>
      </w:r>
      <w:r w:rsidR="00E848FE" w:rsidRPr="00E848FE">
        <w:t xml:space="preserve"> </w:t>
      </w:r>
      <w:hyperlink r:id="rId5" w:tgtFrame="_blank" w:history="1">
        <w:r w:rsidR="00EB0895" w:rsidRPr="008D1B9D">
          <w:rPr>
            <w:rStyle w:val="Hyperlink"/>
            <w:color w:val="215E99" w:themeColor="text2" w:themeTint="BF"/>
          </w:rPr>
          <w:t>U.S. Government Policy for Oversight of Dual Use Research of Concern and Pathogens with Enhanced Pandemic Potential</w:t>
        </w:r>
      </w:hyperlink>
      <w:r w:rsidR="00E848FE" w:rsidRPr="00E848FE">
        <w:t xml:space="preserve"> </w:t>
      </w:r>
      <w:r w:rsidR="0074725E">
        <w:t xml:space="preserve">mandates that </w:t>
      </w:r>
      <w:r w:rsidR="00A743EE">
        <w:t xml:space="preserve">any proposed research that involves </w:t>
      </w:r>
      <w:r w:rsidR="00EB0895">
        <w:t>d</w:t>
      </w:r>
      <w:r w:rsidR="00A743EE" w:rsidRPr="00E848FE">
        <w:t xml:space="preserve">ual </w:t>
      </w:r>
      <w:r w:rsidR="00EB0895">
        <w:t>u</w:t>
      </w:r>
      <w:r w:rsidR="00A743EE" w:rsidRPr="00E848FE">
        <w:t xml:space="preserve">se </w:t>
      </w:r>
      <w:r w:rsidR="00EB0895">
        <w:t>r</w:t>
      </w:r>
      <w:r w:rsidR="00A743EE" w:rsidRPr="00E848FE">
        <w:t xml:space="preserve">esearch of </w:t>
      </w:r>
      <w:r w:rsidR="00EB0895">
        <w:t>c</w:t>
      </w:r>
      <w:r w:rsidR="00A743EE" w:rsidRPr="00E848FE">
        <w:t>oncern</w:t>
      </w:r>
      <w:r w:rsidR="00EB0895">
        <w:t xml:space="preserve"> (DURC)</w:t>
      </w:r>
      <w:r w:rsidR="00A743EE">
        <w:t xml:space="preserve"> </w:t>
      </w:r>
      <w:r w:rsidR="00EB0895">
        <w:t xml:space="preserve">or pathogens with enhanced pandemic potential (PEPP) </w:t>
      </w:r>
      <w:r w:rsidR="00A743EE">
        <w:t xml:space="preserve">must be reviewed by an </w:t>
      </w:r>
      <w:r w:rsidR="00B77323" w:rsidRPr="000B72BF">
        <w:t>Institutional Review Entity (IRE)</w:t>
      </w:r>
      <w:r w:rsidR="00A743EE">
        <w:t xml:space="preserve">. </w:t>
      </w:r>
    </w:p>
    <w:p w14:paraId="77DAE6C7" w14:textId="531E57E0" w:rsidR="000B72BF" w:rsidRDefault="000B72BF" w:rsidP="000B72BF">
      <w:pPr>
        <w:spacing w:after="0"/>
      </w:pPr>
      <w:r w:rsidRPr="000B72BF">
        <w:t>DURC</w:t>
      </w:r>
      <w:r w:rsidR="00823BDF">
        <w:t>/PEPP</w:t>
      </w:r>
      <w:r w:rsidRPr="000B72BF">
        <w:t xml:space="preserve"> Policy defines and outlines oversight requirements for two categories of research at U</w:t>
      </w:r>
      <w:r>
        <w:t xml:space="preserve">nites </w:t>
      </w:r>
      <w:r w:rsidRPr="000B72BF">
        <w:t>S</w:t>
      </w:r>
      <w:r>
        <w:t xml:space="preserve">tates </w:t>
      </w:r>
      <w:r w:rsidRPr="000B72BF">
        <w:t>G</w:t>
      </w:r>
      <w:r>
        <w:t>overnment</w:t>
      </w:r>
      <w:r w:rsidRPr="000B72BF">
        <w:t>-funded institutions</w:t>
      </w:r>
      <w:r>
        <w:t>:</w:t>
      </w:r>
    </w:p>
    <w:p w14:paraId="57C74C6F" w14:textId="7D18C5F9" w:rsidR="000B72BF" w:rsidRDefault="000B72BF" w:rsidP="000B72BF">
      <w:pPr>
        <w:spacing w:after="0"/>
        <w:ind w:left="360"/>
      </w:pPr>
      <w:r w:rsidRPr="000B72BF">
        <w:rPr>
          <w:b/>
          <w:bCs/>
        </w:rPr>
        <w:t>Category 1</w:t>
      </w:r>
      <w:r w:rsidR="00B05C84">
        <w:rPr>
          <w:b/>
          <w:bCs/>
        </w:rPr>
        <w:t>:</w:t>
      </w:r>
      <w:r w:rsidRPr="000B72BF">
        <w:t xml:space="preserve"> research involving dual use research of concern (DURC), and </w:t>
      </w:r>
    </w:p>
    <w:p w14:paraId="7BF2FDFE" w14:textId="0F92D9A7" w:rsidR="000B72BF" w:rsidRPr="00E848FE" w:rsidRDefault="000B72BF" w:rsidP="000B72BF">
      <w:pPr>
        <w:spacing w:after="120"/>
        <w:ind w:left="360"/>
      </w:pPr>
      <w:r w:rsidRPr="000B72BF">
        <w:rPr>
          <w:b/>
          <w:bCs/>
        </w:rPr>
        <w:t>Category 2</w:t>
      </w:r>
      <w:r w:rsidR="00B05C84">
        <w:rPr>
          <w:b/>
          <w:bCs/>
        </w:rPr>
        <w:t>:</w:t>
      </w:r>
      <w:r w:rsidRPr="000B72BF">
        <w:t xml:space="preserve"> research involving pathogens with enhanced pandemic potential (PEPP</w:t>
      </w:r>
      <w:r w:rsidR="00B05C84">
        <w:t>)</w:t>
      </w:r>
      <w:r w:rsidRPr="000B72BF">
        <w:t>.</w:t>
      </w:r>
    </w:p>
    <w:p w14:paraId="51828C32" w14:textId="1196C175" w:rsidR="00E848FE" w:rsidRDefault="000B72BF" w:rsidP="00B77323">
      <w:pPr>
        <w:spacing w:after="240"/>
      </w:pPr>
      <w:r w:rsidRPr="000B72BF">
        <w:t>It is the responsibility of Principal Investigators (PD/PIs) and other Key Personnel</w:t>
      </w:r>
      <w:r w:rsidR="0010160F">
        <w:t>/R</w:t>
      </w:r>
      <w:r w:rsidRPr="000B72BF">
        <w:t>esearchers to assess whether or not their research</w:t>
      </w:r>
      <w:r>
        <w:t xml:space="preserve"> </w:t>
      </w:r>
      <w:r w:rsidRPr="000B72BF">
        <w:t xml:space="preserve">falls under the scope of </w:t>
      </w:r>
      <w:r>
        <w:t>DURC</w:t>
      </w:r>
      <w:r w:rsidR="0010160F">
        <w:t>/PEPP</w:t>
      </w:r>
      <w:r w:rsidRPr="000B72BF">
        <w:t xml:space="preserve"> research. </w:t>
      </w:r>
      <w:r w:rsidR="0010160F">
        <w:t>EIU’s</w:t>
      </w:r>
      <w:r w:rsidR="00E848FE" w:rsidRPr="00E848FE">
        <w:t xml:space="preserve"> </w:t>
      </w:r>
      <w:r w:rsidR="00AF335D">
        <w:t xml:space="preserve">grant </w:t>
      </w:r>
      <w:r w:rsidR="00E848FE" w:rsidRPr="00E848FE">
        <w:t xml:space="preserve">Proposal Transmittal Form (PTF) includes a designated area requiring Principal Investigators to disclose whether the proposed research involves </w:t>
      </w:r>
      <w:r w:rsidR="0010160F">
        <w:t>Category 1 or Category 2 research</w:t>
      </w:r>
      <w:r w:rsidR="00E848FE" w:rsidRPr="00E848FE">
        <w:t xml:space="preserve">. </w:t>
      </w:r>
    </w:p>
    <w:p w14:paraId="43C4ACCF" w14:textId="77777777" w:rsidR="000B72BF" w:rsidRPr="00E848FE" w:rsidRDefault="000B72BF" w:rsidP="005658F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Review</w:t>
      </w:r>
      <w:r w:rsidRPr="00E848FE">
        <w:rPr>
          <w:sz w:val="32"/>
          <w:szCs w:val="32"/>
        </w:rPr>
        <w:t xml:space="preserve"> Process</w:t>
      </w:r>
    </w:p>
    <w:p w14:paraId="362CA1C0" w14:textId="462A0F41" w:rsidR="00FA4930" w:rsidRPr="00E848FE" w:rsidRDefault="00FA4930" w:rsidP="00FA4930">
      <w:pPr>
        <w:spacing w:after="0"/>
        <w:rPr>
          <w:b/>
          <w:bCs/>
        </w:rPr>
      </w:pPr>
      <w:r>
        <w:rPr>
          <w:b/>
          <w:bCs/>
        </w:rPr>
        <w:t>R</w:t>
      </w:r>
      <w:r w:rsidRPr="00E848FE">
        <w:rPr>
          <w:b/>
          <w:bCs/>
        </w:rPr>
        <w:t xml:space="preserve">esearch may </w:t>
      </w:r>
      <w:r w:rsidR="00F04C4E">
        <w:rPr>
          <w:b/>
          <w:bCs/>
        </w:rPr>
        <w:t xml:space="preserve">not </w:t>
      </w:r>
      <w:proofErr w:type="gramStart"/>
      <w:r w:rsidRPr="00E848FE">
        <w:rPr>
          <w:b/>
          <w:bCs/>
        </w:rPr>
        <w:t>be initiated</w:t>
      </w:r>
      <w:proofErr w:type="gramEnd"/>
      <w:r w:rsidRPr="00E848FE">
        <w:rPr>
          <w:b/>
          <w:bCs/>
        </w:rPr>
        <w:t xml:space="preserve"> without formal written approval from </w:t>
      </w:r>
      <w:r>
        <w:rPr>
          <w:b/>
          <w:bCs/>
        </w:rPr>
        <w:t xml:space="preserve">the </w:t>
      </w:r>
      <w:r w:rsidRPr="00FA4930">
        <w:rPr>
          <w:b/>
          <w:bCs/>
        </w:rPr>
        <w:t>Institutional Review Entity</w:t>
      </w:r>
      <w:r w:rsidRPr="00E848FE">
        <w:rPr>
          <w:b/>
          <w:bCs/>
        </w:rPr>
        <w:t>.</w:t>
      </w:r>
    </w:p>
    <w:p w14:paraId="4E3F9ACC" w14:textId="46B7AAB3" w:rsidR="00E848FE" w:rsidRPr="00E848FE" w:rsidRDefault="00AF335D" w:rsidP="00650AD5">
      <w:pPr>
        <w:spacing w:after="0"/>
      </w:pPr>
      <w:r>
        <w:t>When</w:t>
      </w:r>
      <w:r w:rsidR="00E848FE" w:rsidRPr="00E848FE">
        <w:t xml:space="preserve"> a submitted protocol indicates potential DURC activity, the following individuals will </w:t>
      </w:r>
      <w:r w:rsidR="000B72BF">
        <w:t xml:space="preserve">form the </w:t>
      </w:r>
      <w:r w:rsidR="000B72BF" w:rsidRPr="000B72BF">
        <w:t>IRE</w:t>
      </w:r>
      <w:r w:rsidR="00E848FE" w:rsidRPr="00E848FE">
        <w:t>:</w:t>
      </w:r>
    </w:p>
    <w:p w14:paraId="79226C8E" w14:textId="77777777" w:rsidR="00E848FE" w:rsidRPr="00E848FE" w:rsidRDefault="00E848FE" w:rsidP="006074EF">
      <w:pPr>
        <w:spacing w:after="0"/>
        <w:ind w:left="720"/>
      </w:pPr>
      <w:r w:rsidRPr="00E848FE">
        <w:t>Director, Office of Research and Sponsored Programs</w:t>
      </w:r>
    </w:p>
    <w:p w14:paraId="38AB8BBB" w14:textId="77777777" w:rsidR="00E848FE" w:rsidRPr="00E848FE" w:rsidRDefault="00E848FE" w:rsidP="006074EF">
      <w:pPr>
        <w:spacing w:after="0"/>
        <w:ind w:left="720"/>
      </w:pPr>
      <w:r w:rsidRPr="00E848FE">
        <w:t>Dean, Graduate School</w:t>
      </w:r>
    </w:p>
    <w:p w14:paraId="281C606C" w14:textId="46A84648" w:rsidR="00E848FE" w:rsidRDefault="00E848FE" w:rsidP="006074EF">
      <w:pPr>
        <w:spacing w:after="0"/>
        <w:ind w:left="720"/>
      </w:pPr>
      <w:r w:rsidRPr="00E848FE">
        <w:t>Chair of the Principal Investigator’s academic department</w:t>
      </w:r>
    </w:p>
    <w:p w14:paraId="7AAC7F9B" w14:textId="409D246E" w:rsidR="00AB3ABE" w:rsidRDefault="00AB3ABE" w:rsidP="00AB3ABE">
      <w:pPr>
        <w:spacing w:after="0"/>
        <w:ind w:left="720"/>
      </w:pPr>
      <w:r w:rsidRPr="00E848FE">
        <w:t>Dean of the Principal Investigator’s academic department</w:t>
      </w:r>
    </w:p>
    <w:p w14:paraId="230151B5" w14:textId="7A40E2BF" w:rsidR="00AB3ABE" w:rsidRPr="00E848FE" w:rsidRDefault="00206E10" w:rsidP="006074EF">
      <w:pPr>
        <w:spacing w:after="0"/>
        <w:ind w:left="720"/>
      </w:pPr>
      <w:r>
        <w:t>An individual with applicable expertise</w:t>
      </w:r>
    </w:p>
    <w:p w14:paraId="63ABE0C1" w14:textId="77777777" w:rsidR="00E848FE" w:rsidRPr="00E848FE" w:rsidRDefault="00E848FE" w:rsidP="006074EF">
      <w:pPr>
        <w:spacing w:after="120"/>
        <w:ind w:left="720"/>
      </w:pPr>
      <w:r w:rsidRPr="00E848FE">
        <w:t>Provost (as needed)</w:t>
      </w:r>
    </w:p>
    <w:p w14:paraId="2B15B410" w14:textId="7F14489F" w:rsidR="00CC3EC9" w:rsidRPr="00E848FE" w:rsidRDefault="00CC3EC9" w:rsidP="00CC3EC9">
      <w:pPr>
        <w:spacing w:after="0"/>
      </w:pPr>
      <w:r>
        <w:t xml:space="preserve">Referencing </w:t>
      </w:r>
      <w:hyperlink r:id="rId6" w:history="1">
        <w:r w:rsidRPr="008D1B9D">
          <w:rPr>
            <w:rStyle w:val="Hyperlink"/>
            <w:color w:val="215E99" w:themeColor="text2" w:themeTint="BF"/>
          </w:rPr>
          <w:t>US Government Policy for Oversight of Dual Use Research of Concern and Pathogens with Enhanced Pandemic Potential (May 2024)</w:t>
        </w:r>
      </w:hyperlink>
      <w:r>
        <w:t xml:space="preserve"> as a guide, the IRE will:</w:t>
      </w:r>
    </w:p>
    <w:p w14:paraId="466B4902" w14:textId="0299A35F" w:rsidR="00FC6A52" w:rsidRDefault="00CC3EC9" w:rsidP="00CC3EC9">
      <w:pPr>
        <w:pStyle w:val="ListParagraph"/>
        <w:numPr>
          <w:ilvl w:val="0"/>
          <w:numId w:val="4"/>
        </w:numPr>
        <w:spacing w:after="240"/>
      </w:pPr>
      <w:r>
        <w:t>A</w:t>
      </w:r>
      <w:r w:rsidR="00AF335D" w:rsidRPr="00AF335D">
        <w:t xml:space="preserve">ssess whether research </w:t>
      </w:r>
      <w:r w:rsidR="0035237E">
        <w:t>meets the criteria for Category 1 or Category 2 Research</w:t>
      </w:r>
      <w:r w:rsidR="00FC6A52">
        <w:t>.</w:t>
      </w:r>
    </w:p>
    <w:p w14:paraId="4353147A" w14:textId="74DD0A18" w:rsidR="00CC3EC9" w:rsidRDefault="00CC3EC9" w:rsidP="00CC3EC9">
      <w:pPr>
        <w:pStyle w:val="ListParagraph"/>
        <w:numPr>
          <w:ilvl w:val="0"/>
          <w:numId w:val="4"/>
        </w:numPr>
        <w:spacing w:after="240"/>
      </w:pPr>
      <w:r w:rsidRPr="00CC3EC9">
        <w:t xml:space="preserve">Works with the PI to conduct a risk-benefit assessment and develop a risk mitigation plan for </w:t>
      </w:r>
      <w:r>
        <w:t>the</w:t>
      </w:r>
      <w:r w:rsidRPr="00CC3EC9">
        <w:t xml:space="preserve"> research, as necessary</w:t>
      </w:r>
      <w:r>
        <w:t>.</w:t>
      </w:r>
    </w:p>
    <w:p w14:paraId="58735607" w14:textId="3956354D" w:rsidR="00CC3EC9" w:rsidRDefault="00CC3EC9" w:rsidP="00A372D3">
      <w:pPr>
        <w:pStyle w:val="ListParagraph"/>
        <w:numPr>
          <w:ilvl w:val="0"/>
          <w:numId w:val="4"/>
        </w:numPr>
        <w:spacing w:after="120"/>
      </w:pPr>
      <w:r w:rsidRPr="00CC3EC9">
        <w:t xml:space="preserve">Ensures that the federal funding agency </w:t>
      </w:r>
      <w:proofErr w:type="gramStart"/>
      <w:r w:rsidRPr="00CC3EC9">
        <w:t>is notified</w:t>
      </w:r>
      <w:proofErr w:type="gramEnd"/>
      <w:r w:rsidRPr="00CC3EC9">
        <w:t xml:space="preserve"> and </w:t>
      </w:r>
      <w:r>
        <w:t>the</w:t>
      </w:r>
      <w:r w:rsidRPr="00CC3EC9">
        <w:t xml:space="preserve"> risk mitigation plan </w:t>
      </w:r>
      <w:proofErr w:type="gramStart"/>
      <w:r w:rsidRPr="00CC3EC9">
        <w:t>is reviewed</w:t>
      </w:r>
      <w:proofErr w:type="gramEnd"/>
      <w:r w:rsidRPr="00CC3EC9">
        <w:t>, approved, and implemented prior to the initiation of the proposed research</w:t>
      </w:r>
      <w:r>
        <w:t>.</w:t>
      </w:r>
    </w:p>
    <w:p w14:paraId="6F1C4116" w14:textId="35A8E4D8" w:rsidR="00A372D3" w:rsidRPr="00CC3EC9" w:rsidRDefault="00A372D3" w:rsidP="00A372D3">
      <w:pPr>
        <w:spacing w:after="240"/>
      </w:pPr>
      <w:r w:rsidRPr="00CC3EC9">
        <w:t xml:space="preserve">If the IRE determines that the research in question does not meet the definition of Category 1 or Category 2 research, the IRE </w:t>
      </w:r>
      <w:r w:rsidR="00176645">
        <w:t>will</w:t>
      </w:r>
      <w:r w:rsidRPr="00CC3EC9">
        <w:t xml:space="preserve"> communicate this determination to the federal funding agency. </w:t>
      </w:r>
    </w:p>
    <w:p w14:paraId="360721EB" w14:textId="684CC194" w:rsidR="00A372D3" w:rsidRPr="00A372D3" w:rsidRDefault="00A372D3" w:rsidP="005658F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Approved Category 1 or Category 2 Research</w:t>
      </w:r>
    </w:p>
    <w:p w14:paraId="08A8017A" w14:textId="77777777" w:rsidR="00FA4930" w:rsidRDefault="00A372D3" w:rsidP="005658FB">
      <w:pPr>
        <w:spacing w:after="120"/>
      </w:pPr>
      <w:r w:rsidRPr="00A372D3">
        <w:t xml:space="preserve">The research </w:t>
      </w:r>
      <w:r>
        <w:t>must</w:t>
      </w:r>
      <w:r w:rsidRPr="00A372D3">
        <w:t xml:space="preserve"> </w:t>
      </w:r>
      <w:proofErr w:type="gramStart"/>
      <w:r w:rsidRPr="00A372D3">
        <w:t>be conducted</w:t>
      </w:r>
      <w:proofErr w:type="gramEnd"/>
      <w:r w:rsidRPr="00A372D3">
        <w:t xml:space="preserve"> in accordance with the approved risk mitigation plan and </w:t>
      </w:r>
      <w:r w:rsidR="00FA4930">
        <w:t>will</w:t>
      </w:r>
      <w:r w:rsidRPr="00A372D3">
        <w:t xml:space="preserve"> </w:t>
      </w:r>
      <w:proofErr w:type="gramStart"/>
      <w:r w:rsidRPr="00A372D3">
        <w:t>be periodically reviewed</w:t>
      </w:r>
      <w:proofErr w:type="gramEnd"/>
      <w:r w:rsidRPr="00A372D3">
        <w:t xml:space="preserve"> by the </w:t>
      </w:r>
      <w:r>
        <w:t>IRE</w:t>
      </w:r>
      <w:r w:rsidRPr="00A372D3">
        <w:t xml:space="preserve"> to determine if additional modifications to the risk mitigation plan are appropriate</w:t>
      </w:r>
      <w:r>
        <w:t>.</w:t>
      </w:r>
      <w:r w:rsidRPr="00A372D3">
        <w:t xml:space="preserve"> </w:t>
      </w:r>
    </w:p>
    <w:p w14:paraId="033676B5" w14:textId="6E25B85B" w:rsidR="00A372D3" w:rsidRDefault="00310681" w:rsidP="00AF335D">
      <w:pPr>
        <w:spacing w:after="240"/>
      </w:pPr>
      <w:r>
        <w:lastRenderedPageBreak/>
        <w:t>The PI</w:t>
      </w:r>
      <w:r w:rsidR="00FA4930" w:rsidRPr="00E848FE">
        <w:t xml:space="preserve"> and </w:t>
      </w:r>
      <w:r>
        <w:t xml:space="preserve">all other </w:t>
      </w:r>
      <w:r w:rsidR="00FA4930" w:rsidRPr="00E848FE">
        <w:t xml:space="preserve">relevant personnel </w:t>
      </w:r>
      <w:proofErr w:type="gramStart"/>
      <w:r w:rsidR="00FA4930">
        <w:t>are required</w:t>
      </w:r>
      <w:proofErr w:type="gramEnd"/>
      <w:r w:rsidR="00FA4930">
        <w:t xml:space="preserve">, </w:t>
      </w:r>
      <w:proofErr w:type="gramStart"/>
      <w:r w:rsidR="00FA4930">
        <w:t>per</w:t>
      </w:r>
      <w:proofErr w:type="gramEnd"/>
      <w:r w:rsidR="00FA4930">
        <w:t xml:space="preserve"> federal policy, </w:t>
      </w:r>
      <w:r w:rsidR="00FA4930" w:rsidRPr="00E848FE">
        <w:t xml:space="preserve">to complete </w:t>
      </w:r>
      <w:proofErr w:type="gramStart"/>
      <w:r w:rsidR="00FA4930" w:rsidRPr="00E848FE">
        <w:t>federally</w:t>
      </w:r>
      <w:r>
        <w:t>-</w:t>
      </w:r>
      <w:r w:rsidR="00FA4930" w:rsidRPr="00E848FE">
        <w:t>approved</w:t>
      </w:r>
      <w:proofErr w:type="gramEnd"/>
      <w:r w:rsidR="00FA4930" w:rsidRPr="00E848FE">
        <w:t xml:space="preserve"> DURC</w:t>
      </w:r>
      <w:r w:rsidR="00FA4930">
        <w:t>/PEPP</w:t>
      </w:r>
      <w:r w:rsidR="00FA4930" w:rsidRPr="00E848FE">
        <w:t xml:space="preserve"> training before proceeding with any activities.</w:t>
      </w:r>
    </w:p>
    <w:p w14:paraId="3E96DA54" w14:textId="78ACE9E9" w:rsidR="00E848FE" w:rsidRPr="00E848FE" w:rsidRDefault="00E848FE" w:rsidP="005658FB">
      <w:pPr>
        <w:spacing w:after="0" w:line="240" w:lineRule="auto"/>
        <w:rPr>
          <w:sz w:val="32"/>
          <w:szCs w:val="32"/>
        </w:rPr>
      </w:pPr>
      <w:r w:rsidRPr="00E848FE">
        <w:rPr>
          <w:sz w:val="32"/>
          <w:szCs w:val="32"/>
        </w:rPr>
        <w:t>Reporting and Oversight Contact</w:t>
      </w:r>
    </w:p>
    <w:p w14:paraId="3C428CDA" w14:textId="74E734AA" w:rsidR="00E848FE" w:rsidRPr="00E848FE" w:rsidRDefault="00E848FE" w:rsidP="00650AD5">
      <w:pPr>
        <w:spacing w:after="0"/>
      </w:pPr>
      <w:r w:rsidRPr="00E848FE">
        <w:t>Any concerns or questions related to potential DURC</w:t>
      </w:r>
      <w:r w:rsidR="00A372D3">
        <w:t>/PEPP</w:t>
      </w:r>
      <w:r w:rsidRPr="00E848FE">
        <w:t xml:space="preserve"> </w:t>
      </w:r>
      <w:r w:rsidR="00BD1B5C">
        <w:t xml:space="preserve">must </w:t>
      </w:r>
      <w:proofErr w:type="gramStart"/>
      <w:r w:rsidR="00BD1B5C">
        <w:t>be addressed</w:t>
      </w:r>
      <w:proofErr w:type="gramEnd"/>
      <w:r w:rsidRPr="00E848FE">
        <w:t xml:space="preserve"> to:</w:t>
      </w:r>
    </w:p>
    <w:p w14:paraId="602253D8" w14:textId="107AE547" w:rsidR="00E848FE" w:rsidRPr="00E848FE" w:rsidRDefault="00E848FE" w:rsidP="007B1CAD">
      <w:pPr>
        <w:spacing w:after="0"/>
        <w:ind w:left="360"/>
      </w:pPr>
      <w:r w:rsidRPr="00E848FE">
        <w:t>Director of Compliance</w:t>
      </w:r>
      <w:r w:rsidR="002A235A">
        <w:t>/</w:t>
      </w:r>
      <w:r w:rsidR="002A235A" w:rsidRPr="00AB3ABE">
        <w:t>Institutional Contact for Dual Use Research (ICDUR)</w:t>
      </w:r>
    </w:p>
    <w:p w14:paraId="29822F14" w14:textId="77777777" w:rsidR="007B1CAD" w:rsidRDefault="00E848FE" w:rsidP="007B1CAD">
      <w:pPr>
        <w:spacing w:after="0"/>
        <w:ind w:left="360"/>
      </w:pPr>
      <w:r w:rsidRPr="00E848FE">
        <w:t>Office of Research and Sponsored Programs</w:t>
      </w:r>
    </w:p>
    <w:p w14:paraId="32731274" w14:textId="630DF8BD" w:rsidR="007B1CAD" w:rsidRDefault="007B1CAD" w:rsidP="007B1CAD">
      <w:pPr>
        <w:spacing w:after="240"/>
        <w:ind w:left="360"/>
      </w:pPr>
      <w:r>
        <w:t xml:space="preserve">217-581-2125 | </w:t>
      </w:r>
      <w:hyperlink r:id="rId7" w:history="1">
        <w:r w:rsidRPr="008D1B9D">
          <w:rPr>
            <w:rStyle w:val="Hyperlink"/>
            <w:color w:val="215E99" w:themeColor="text2" w:themeTint="BF"/>
          </w:rPr>
          <w:t>eiugrants@eiu.edu</w:t>
        </w:r>
      </w:hyperlink>
    </w:p>
    <w:p w14:paraId="2AA88521" w14:textId="64DC5AA9" w:rsidR="003D01B5" w:rsidRDefault="00E848FE" w:rsidP="00650AD5">
      <w:pPr>
        <w:spacing w:after="0"/>
      </w:pPr>
      <w:r w:rsidRPr="00E848FE">
        <w:t>Conducting DURC research without appropriate institutional review and approval may result in disciplinary action and referral to federal oversight authorities as required by law.</w:t>
      </w:r>
      <w:r w:rsidR="002A235A">
        <w:t xml:space="preserve"> </w:t>
      </w:r>
      <w:r w:rsidR="00AF335D" w:rsidRPr="00AF335D">
        <w:t>Non-compliance with this Policy may result in suspension, limitation, or termination of USG funding, or loss of future USG funding opportunities for the non-compliant USG</w:t>
      </w:r>
      <w:r w:rsidR="00A372D3">
        <w:t>-</w:t>
      </w:r>
      <w:r w:rsidR="00AF335D" w:rsidRPr="00AF335D">
        <w:t>funded research project and of USG funds for other life sciences research at the institution, consistent with existing regulations and policies governing USG funded</w:t>
      </w:r>
      <w:r w:rsidR="00AF335D">
        <w:t xml:space="preserve"> </w:t>
      </w:r>
      <w:r w:rsidR="00AF335D" w:rsidRPr="00AF335D">
        <w:t xml:space="preserve">research, and may subject the institution to other potential penalties under applicable laws and regulations. </w:t>
      </w:r>
    </w:p>
    <w:sectPr w:rsidR="003D01B5" w:rsidSect="00E848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C13"/>
    <w:multiLevelType w:val="hybridMultilevel"/>
    <w:tmpl w:val="DA74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7F18"/>
    <w:multiLevelType w:val="hybridMultilevel"/>
    <w:tmpl w:val="AC140BB8"/>
    <w:lvl w:ilvl="0" w:tplc="A11E7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73096"/>
    <w:multiLevelType w:val="hybridMultilevel"/>
    <w:tmpl w:val="A9CA5F64"/>
    <w:lvl w:ilvl="0" w:tplc="AC98BE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0555"/>
    <w:multiLevelType w:val="hybridMultilevel"/>
    <w:tmpl w:val="78CCA3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D26AF"/>
    <w:multiLevelType w:val="hybridMultilevel"/>
    <w:tmpl w:val="B8F05D3E"/>
    <w:lvl w:ilvl="0" w:tplc="608A0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654843">
    <w:abstractNumId w:val="3"/>
  </w:num>
  <w:num w:numId="2" w16cid:durableId="1497303632">
    <w:abstractNumId w:val="1"/>
  </w:num>
  <w:num w:numId="3" w16cid:durableId="1697000103">
    <w:abstractNumId w:val="0"/>
  </w:num>
  <w:num w:numId="4" w16cid:durableId="1528134084">
    <w:abstractNumId w:val="4"/>
  </w:num>
  <w:num w:numId="5" w16cid:durableId="33888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FE"/>
    <w:rsid w:val="00041F58"/>
    <w:rsid w:val="000562A4"/>
    <w:rsid w:val="000B72BF"/>
    <w:rsid w:val="0010160F"/>
    <w:rsid w:val="00176645"/>
    <w:rsid w:val="00206E10"/>
    <w:rsid w:val="002774AD"/>
    <w:rsid w:val="0028482A"/>
    <w:rsid w:val="002A235A"/>
    <w:rsid w:val="00310681"/>
    <w:rsid w:val="0035237E"/>
    <w:rsid w:val="003D01B5"/>
    <w:rsid w:val="0048723F"/>
    <w:rsid w:val="0049183E"/>
    <w:rsid w:val="005658FB"/>
    <w:rsid w:val="00597E67"/>
    <w:rsid w:val="006074EF"/>
    <w:rsid w:val="00650AD5"/>
    <w:rsid w:val="0074725E"/>
    <w:rsid w:val="007B1CAD"/>
    <w:rsid w:val="00823BDF"/>
    <w:rsid w:val="00826A09"/>
    <w:rsid w:val="00844236"/>
    <w:rsid w:val="008D1B9D"/>
    <w:rsid w:val="009D2093"/>
    <w:rsid w:val="00A372D3"/>
    <w:rsid w:val="00A44ED4"/>
    <w:rsid w:val="00A743EE"/>
    <w:rsid w:val="00A760AB"/>
    <w:rsid w:val="00AB3ABE"/>
    <w:rsid w:val="00AF335D"/>
    <w:rsid w:val="00B05C84"/>
    <w:rsid w:val="00B77323"/>
    <w:rsid w:val="00BD1B5C"/>
    <w:rsid w:val="00BD7FB5"/>
    <w:rsid w:val="00CC3EC9"/>
    <w:rsid w:val="00D067FE"/>
    <w:rsid w:val="00E53C65"/>
    <w:rsid w:val="00E848FE"/>
    <w:rsid w:val="00EB0895"/>
    <w:rsid w:val="00F04C4E"/>
    <w:rsid w:val="00FA4930"/>
    <w:rsid w:val="00FB7434"/>
    <w:rsid w:val="00FC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FEEF"/>
  <w15:chartTrackingRefBased/>
  <w15:docId w15:val="{38B38B91-394E-4AB1-B75E-608FB881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4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8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1C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iugrants@ei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pr.hhs.gov/S3/Documents/USG-Policy-for-Oversight-of-DURC-and-PEPP-May2024-508.pdf" TargetMode="External"/><Relationship Id="rId5" Type="http://schemas.openxmlformats.org/officeDocument/2006/relationships/hyperlink" Target="https://aspr.hhs.gov/S3/Documents/USG-Policy-for-Oversight-of-DURC-and-PEPP-May2024-50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 Smith</dc:creator>
  <cp:keywords/>
  <dc:description/>
  <cp:lastModifiedBy>Jennifer L Smith</cp:lastModifiedBy>
  <cp:revision>2</cp:revision>
  <dcterms:created xsi:type="dcterms:W3CDTF">2025-07-17T16:59:00Z</dcterms:created>
  <dcterms:modified xsi:type="dcterms:W3CDTF">2025-07-17T16:59:00Z</dcterms:modified>
</cp:coreProperties>
</file>