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D4" w:rsidRDefault="00780CA1" w:rsidP="00BC3D50">
      <w:pPr>
        <w:jc w:val="center"/>
        <w:rPr>
          <w:b/>
          <w:sz w:val="28"/>
          <w:szCs w:val="28"/>
        </w:rPr>
      </w:pPr>
      <w:bookmarkStart w:id="0" w:name="_GoBack"/>
      <w:bookmarkEnd w:id="0"/>
      <w:r>
        <w:rPr>
          <w:b/>
          <w:sz w:val="28"/>
          <w:szCs w:val="28"/>
        </w:rPr>
        <w:t xml:space="preserve">AY </w:t>
      </w:r>
      <w:r w:rsidR="00541E60">
        <w:rPr>
          <w:b/>
          <w:sz w:val="28"/>
          <w:szCs w:val="28"/>
        </w:rPr>
        <w:t>201</w:t>
      </w:r>
      <w:r w:rsidR="00B5094E">
        <w:rPr>
          <w:b/>
          <w:sz w:val="28"/>
          <w:szCs w:val="28"/>
        </w:rPr>
        <w:t>3</w:t>
      </w:r>
      <w:r w:rsidR="00541E60">
        <w:rPr>
          <w:b/>
          <w:sz w:val="28"/>
          <w:szCs w:val="28"/>
        </w:rPr>
        <w:t>-1</w:t>
      </w:r>
      <w:r w:rsidR="00B5094E">
        <w:rPr>
          <w:b/>
          <w:sz w:val="28"/>
          <w:szCs w:val="28"/>
        </w:rPr>
        <w:t>4</w:t>
      </w:r>
      <w:r w:rsidR="00E15A3D" w:rsidRPr="00E15A3D">
        <w:rPr>
          <w:b/>
          <w:sz w:val="28"/>
          <w:szCs w:val="28"/>
        </w:rPr>
        <w:t xml:space="preserve"> Watson-Glaser Report</w:t>
      </w:r>
    </w:p>
    <w:p w:rsidR="008D03D4" w:rsidRDefault="008D03D4" w:rsidP="008D03D4"/>
    <w:p w:rsidR="00BC3D50" w:rsidRDefault="00BC3D50" w:rsidP="008D03D4">
      <w:r>
        <w:t xml:space="preserve">The Watson-Glaser Critical Thinking Appraisal is given in senior seminars the twelfth week of each semester or at the corresponding time for weekend and summer sessions.  The majority of administrations take place in the classrooms, but students taking on-line classes have the option to take the WGCTA on-line.  </w:t>
      </w:r>
    </w:p>
    <w:p w:rsidR="00EC1555" w:rsidRDefault="00EC1555" w:rsidP="008D03D4"/>
    <w:p w:rsidR="00EC1555" w:rsidRDefault="008D03D4">
      <w:r>
        <w:t xml:space="preserve">The chart below indicates the average composite scores by semester.  Because we are using the short form of the Watson-Glaser Critical Thinking Appraisal, only the composite score is considered valid.  Comparisons may be made from spring semester to spring semester, fall semester to fall semester, and </w:t>
      </w:r>
      <w:r w:rsidR="00BC3D50">
        <w:t>summer to summer</w:t>
      </w:r>
      <w:r>
        <w:t>.</w:t>
      </w:r>
      <w:r w:rsidR="00C3040A">
        <w:t xml:space="preserve">  </w:t>
      </w:r>
    </w:p>
    <w:p w:rsidR="00EC1555" w:rsidRDefault="00EC1555"/>
    <w:p w:rsidR="00007EC6" w:rsidRDefault="00EC1555">
      <w:r>
        <w:t xml:space="preserve">The highest possible composite score is a 40.  The chart below offers the average composite scores for the last five years, 15 semesters of data.  </w:t>
      </w:r>
      <w:r w:rsidR="00C3040A">
        <w:t xml:space="preserve">The scores </w:t>
      </w:r>
      <w:r>
        <w:t>for the past 5 semesters remain relatively stable from the all-time low of 22.82 in SU09</w:t>
      </w:r>
      <w:r w:rsidR="005E6EA8">
        <w:t>.</w:t>
      </w:r>
    </w:p>
    <w:p w:rsidR="008D03D4" w:rsidRDefault="008D03D4"/>
    <w:p w:rsidR="008D03D4" w:rsidRDefault="00ED005D" w:rsidP="005E6EA8">
      <w:pPr>
        <w:jc w:val="center"/>
      </w:pPr>
      <w:r>
        <w:rPr>
          <w:noProof/>
        </w:rPr>
        <w:drawing>
          <wp:inline distT="0" distB="0" distL="0" distR="0">
            <wp:extent cx="6629400" cy="39624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D03D4" w:rsidRDefault="008D03D4"/>
    <w:p w:rsidR="008D03D4" w:rsidRDefault="008D03D4"/>
    <w:p w:rsidR="008D03D4" w:rsidRDefault="008D03D4"/>
    <w:p w:rsidR="008D03D4" w:rsidRDefault="008D03D4"/>
    <w:p w:rsidR="008D03D4" w:rsidRDefault="008D03D4"/>
    <w:p w:rsidR="008D03D4" w:rsidRDefault="008D03D4"/>
    <w:p w:rsidR="008D03D4" w:rsidRDefault="008D03D4"/>
    <w:p w:rsidR="008D03D4" w:rsidRDefault="008D03D4"/>
    <w:p w:rsidR="008D03D4" w:rsidRDefault="008D03D4"/>
    <w:p w:rsidR="008D03D4" w:rsidRDefault="008D03D4">
      <w:r>
        <w:t>The following three charts offer the subscores for each semester in AY</w:t>
      </w:r>
      <w:r w:rsidR="005E6EA8">
        <w:t>1</w:t>
      </w:r>
      <w:r w:rsidR="00B5094E">
        <w:t>4</w:t>
      </w:r>
      <w:r>
        <w:t xml:space="preserve"> compared to the corresponding semester in AY</w:t>
      </w:r>
      <w:r w:rsidR="00541E60">
        <w:t>1</w:t>
      </w:r>
      <w:r w:rsidR="00B5094E">
        <w:t>3</w:t>
      </w:r>
      <w:r>
        <w:t>.  These charts as well as the data by major and the composite average are shared with department chairs.</w:t>
      </w:r>
    </w:p>
    <w:p w:rsidR="008D03D4" w:rsidRDefault="008D03D4"/>
    <w:p w:rsidR="00C26F7E" w:rsidRDefault="00ED005D" w:rsidP="003B4603">
      <w:pPr>
        <w:jc w:val="center"/>
      </w:pPr>
      <w:r>
        <w:rPr>
          <w:noProof/>
        </w:rPr>
        <w:drawing>
          <wp:inline distT="0" distB="0" distL="0" distR="0">
            <wp:extent cx="6096000" cy="6296025"/>
            <wp:effectExtent l="0" t="0" r="0" b="0"/>
            <wp:docPr id="20"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1099" w:rsidRDefault="00ED005D" w:rsidP="000A1C5F">
      <w:pPr>
        <w:jc w:val="center"/>
      </w:pPr>
      <w:r>
        <w:rPr>
          <w:noProof/>
        </w:rPr>
        <w:lastRenderedPageBreak/>
        <w:drawing>
          <wp:inline distT="0" distB="0" distL="0" distR="0">
            <wp:extent cx="6619875" cy="7962900"/>
            <wp:effectExtent l="0" t="0" r="0" b="0"/>
            <wp:docPr id="24" name="Object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lastRenderedPageBreak/>
        <w:drawing>
          <wp:inline distT="0" distB="0" distL="0" distR="0">
            <wp:extent cx="6619875" cy="7962900"/>
            <wp:effectExtent l="0" t="0" r="0" b="0"/>
            <wp:docPr id="25" name="Objec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1E60" w:rsidRDefault="00261099" w:rsidP="00261099">
      <w:pPr>
        <w:rPr>
          <w:noProof/>
        </w:rPr>
      </w:pPr>
      <w:r>
        <w:rPr>
          <w:noProof/>
        </w:rPr>
        <w:lastRenderedPageBreak/>
        <w:t xml:space="preserve">The chart below offers the composite means by academic year for each colleage.  </w:t>
      </w:r>
      <w:r w:rsidR="00ED005D">
        <w:rPr>
          <w:noProof/>
        </w:rPr>
        <w:t>LCBAS shows the biggest dip and then a rebound and then another dip, but the other colleges follow similar trajectories across the five years of data.</w:t>
      </w:r>
    </w:p>
    <w:p w:rsidR="00541E60" w:rsidRDefault="00541E60" w:rsidP="00BF3499">
      <w:pPr>
        <w:jc w:val="center"/>
        <w:rPr>
          <w:noProof/>
        </w:rPr>
      </w:pPr>
    </w:p>
    <w:p w:rsidR="00541E60" w:rsidRDefault="00541E60" w:rsidP="00BF3499">
      <w:pPr>
        <w:jc w:val="center"/>
        <w:rPr>
          <w:noProof/>
        </w:rPr>
      </w:pPr>
    </w:p>
    <w:p w:rsidR="00541E60" w:rsidRDefault="00ED005D" w:rsidP="00BF3499">
      <w:pPr>
        <w:jc w:val="center"/>
        <w:rPr>
          <w:rFonts w:ascii="Arial" w:hAnsi="Arial" w:cs="Arial"/>
          <w:sz w:val="20"/>
          <w:szCs w:val="20"/>
        </w:rPr>
      </w:pPr>
      <w:r>
        <w:rPr>
          <w:noProof/>
        </w:rPr>
        <w:object w:dxaOrig="9341" w:dyaOrig="6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35.25pt" o:ole="">
            <v:imagedata r:id="rId11" o:title=""/>
          </v:shape>
          <o:OLEObject Type="Embed" ProgID="Excel.Sheet.12" ShapeID="_x0000_i1025" DrawAspect="Content" ObjectID="_1477476406" r:id="rId12"/>
        </w:object>
      </w:r>
    </w:p>
    <w:sectPr w:rsidR="00541E60" w:rsidSect="00007EC6">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41" w:rsidRDefault="00080041" w:rsidP="00CC4AE9">
      <w:r>
        <w:separator/>
      </w:r>
    </w:p>
  </w:endnote>
  <w:endnote w:type="continuationSeparator" w:id="0">
    <w:p w:rsidR="00080041" w:rsidRDefault="00080041" w:rsidP="00CC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41" w:rsidRDefault="00080041" w:rsidP="00CC4AE9">
      <w:r>
        <w:separator/>
      </w:r>
    </w:p>
  </w:footnote>
  <w:footnote w:type="continuationSeparator" w:id="0">
    <w:p w:rsidR="00080041" w:rsidRDefault="00080041" w:rsidP="00CC4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C6"/>
    <w:rsid w:val="00007EC6"/>
    <w:rsid w:val="00080041"/>
    <w:rsid w:val="000A1C5F"/>
    <w:rsid w:val="00261099"/>
    <w:rsid w:val="0027661E"/>
    <w:rsid w:val="00360171"/>
    <w:rsid w:val="0036206C"/>
    <w:rsid w:val="003B4603"/>
    <w:rsid w:val="003F3239"/>
    <w:rsid w:val="003F6663"/>
    <w:rsid w:val="004E35DF"/>
    <w:rsid w:val="00501A56"/>
    <w:rsid w:val="00541E60"/>
    <w:rsid w:val="005E6EA8"/>
    <w:rsid w:val="0063513F"/>
    <w:rsid w:val="0075342B"/>
    <w:rsid w:val="00757DEF"/>
    <w:rsid w:val="00780CA1"/>
    <w:rsid w:val="00876ABC"/>
    <w:rsid w:val="008D03D4"/>
    <w:rsid w:val="008E1410"/>
    <w:rsid w:val="00952142"/>
    <w:rsid w:val="009837E9"/>
    <w:rsid w:val="009F6916"/>
    <w:rsid w:val="00A27874"/>
    <w:rsid w:val="00B274E0"/>
    <w:rsid w:val="00B5094E"/>
    <w:rsid w:val="00B82B2A"/>
    <w:rsid w:val="00BA7B96"/>
    <w:rsid w:val="00BC3D50"/>
    <w:rsid w:val="00BF3499"/>
    <w:rsid w:val="00C26F7E"/>
    <w:rsid w:val="00C3040A"/>
    <w:rsid w:val="00CC4AE9"/>
    <w:rsid w:val="00D0391A"/>
    <w:rsid w:val="00E15A3D"/>
    <w:rsid w:val="00EC1555"/>
    <w:rsid w:val="00ED005D"/>
    <w:rsid w:val="00F0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A512397-6320-4626-9688-A8C4D05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5A3D"/>
    <w:rPr>
      <w:rFonts w:ascii="Tahoma" w:hAnsi="Tahoma" w:cs="Tahoma"/>
      <w:sz w:val="16"/>
      <w:szCs w:val="16"/>
    </w:rPr>
  </w:style>
  <w:style w:type="paragraph" w:styleId="Header">
    <w:name w:val="header"/>
    <w:basedOn w:val="Normal"/>
    <w:link w:val="HeaderChar"/>
    <w:uiPriority w:val="99"/>
    <w:rsid w:val="00CC4AE9"/>
    <w:pPr>
      <w:tabs>
        <w:tab w:val="center" w:pos="4680"/>
        <w:tab w:val="right" w:pos="9360"/>
      </w:tabs>
    </w:pPr>
  </w:style>
  <w:style w:type="character" w:customStyle="1" w:styleId="HeaderChar">
    <w:name w:val="Header Char"/>
    <w:link w:val="Header"/>
    <w:uiPriority w:val="99"/>
    <w:rsid w:val="00CC4AE9"/>
    <w:rPr>
      <w:sz w:val="24"/>
      <w:szCs w:val="24"/>
    </w:rPr>
  </w:style>
  <w:style w:type="paragraph" w:styleId="Footer">
    <w:name w:val="footer"/>
    <w:basedOn w:val="Normal"/>
    <w:link w:val="FooterChar"/>
    <w:rsid w:val="00CC4AE9"/>
    <w:pPr>
      <w:tabs>
        <w:tab w:val="center" w:pos="4680"/>
        <w:tab w:val="right" w:pos="9360"/>
      </w:tabs>
    </w:pPr>
  </w:style>
  <w:style w:type="character" w:customStyle="1" w:styleId="FooterChar">
    <w:name w:val="Footer Char"/>
    <w:link w:val="Footer"/>
    <w:rsid w:val="00CC4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84566">
      <w:bodyDiv w:val="1"/>
      <w:marLeft w:val="0"/>
      <w:marRight w:val="0"/>
      <w:marTop w:val="0"/>
      <w:marBottom w:val="0"/>
      <w:divBdr>
        <w:top w:val="none" w:sz="0" w:space="0" w:color="auto"/>
        <w:left w:val="none" w:sz="0" w:space="0" w:color="auto"/>
        <w:bottom w:val="none" w:sz="0" w:space="0" w:color="auto"/>
        <w:right w:val="none" w:sz="0" w:space="0" w:color="auto"/>
      </w:divBdr>
    </w:div>
    <w:div w:id="126099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package" Target="embeddings/Microsoft_Excel_Worksheet5.xls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98" b="1" i="0" u="none" strike="noStrike" baseline="0">
                <a:solidFill>
                  <a:srgbClr val="000000"/>
                </a:solidFill>
                <a:latin typeface="Arial"/>
                <a:ea typeface="Arial"/>
                <a:cs typeface="Arial"/>
              </a:defRPr>
            </a:pPr>
            <a:r>
              <a:rPr lang="en-US"/>
              <a:t>Watson-Glaser Average Composite Scores by Semester for Last Five Years</a:t>
            </a:r>
          </a:p>
        </c:rich>
      </c:tx>
      <c:layout>
        <c:manualLayout>
          <c:xMode val="edge"/>
          <c:yMode val="edge"/>
          <c:x val="0.19655677752003647"/>
          <c:y val="4.8611054831763416E-2"/>
        </c:manualLayout>
      </c:layout>
      <c:overlay val="0"/>
      <c:spPr>
        <a:noFill/>
        <a:ln w="25363">
          <a:noFill/>
        </a:ln>
      </c:spPr>
    </c:title>
    <c:autoTitleDeleted val="0"/>
    <c:plotArea>
      <c:layout>
        <c:manualLayout>
          <c:layoutTarget val="inner"/>
          <c:xMode val="edge"/>
          <c:yMode val="edge"/>
          <c:x val="9.7561043955851495E-2"/>
          <c:y val="0.27314876561768847"/>
          <c:w val="0.87422346238284054"/>
          <c:h val="0.59027911213992001"/>
        </c:manualLayout>
      </c:layout>
      <c:lineChart>
        <c:grouping val="standard"/>
        <c:varyColors val="0"/>
        <c:ser>
          <c:idx val="0"/>
          <c:order val="0"/>
          <c:tx>
            <c:strRef>
              <c:f>all!$B$2</c:f>
              <c:strCache>
                <c:ptCount val="1"/>
                <c:pt idx="0">
                  <c:v>Score</c:v>
                </c:pt>
              </c:strCache>
            </c:strRef>
          </c:tx>
          <c:spPr>
            <a:ln w="25363">
              <a:solidFill>
                <a:srgbClr val="FF00FF"/>
              </a:solidFill>
              <a:prstDash val="solid"/>
            </a:ln>
          </c:spPr>
          <c:marker>
            <c:symbol val="diamond"/>
            <c:size val="6"/>
            <c:spPr>
              <a:solidFill>
                <a:srgbClr val="FF00FF"/>
              </a:solidFill>
              <a:ln>
                <a:solidFill>
                  <a:srgbClr val="FF00FF"/>
                </a:solidFill>
                <a:prstDash val="solid"/>
              </a:ln>
            </c:spPr>
          </c:marker>
          <c:dLbls>
            <c:dLbl>
              <c:idx val="0"/>
              <c:layout>
                <c:manualLayout>
                  <c:x val="-2.8694404591104734E-2"/>
                  <c:y val="5.555555555555561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129603060736491E-2"/>
                  <c:y val="2.46913580246913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8694555217900489E-2"/>
                  <c:y val="-2.777777777777777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042563366810173E-2"/>
                  <c:y val="-4.938271604938265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2912482065997131E-2"/>
                  <c:y val="-4.018518518518518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0779380697929259E-2"/>
                  <c:y val="3.108000388840283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2085126733620276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3476805356288859E-3"/>
                  <c:y val="2.766963157383104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6.1692969870875178E-2"/>
                  <c:y val="-1.63043161271507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6.8866420391855546E-2"/>
                  <c:y val="-1.709900845727617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5.8823378784968954E-2"/>
                  <c:y val="-3.780086516963157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3.443328550932568E-2"/>
                  <c:y val="-4.629629629629623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3.443328550932568E-2"/>
                  <c:y val="-3.395061728395061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4.0650255877269288E-2"/>
                  <c:y val="4.070939049285500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2.3433649764323102E-2"/>
                  <c:y val="-2.290151825668506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5.7388658555413717E-2"/>
                  <c:y val="3.16588898609896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9693904697545836E-2"/>
                  <c:y val="3.39737977480961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2.7699062724763423E-2"/>
                  <c:y val="-5.503086419753086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363">
                <a:noFill/>
              </a:ln>
            </c:spPr>
            <c:txPr>
              <a:bodyPr/>
              <a:lstStyle/>
              <a:p>
                <a:pPr>
                  <a:defRPr sz="999"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all!$A$24:$A$38</c:f>
              <c:strCache>
                <c:ptCount val="15"/>
                <c:pt idx="0">
                  <c:v>SU09</c:v>
                </c:pt>
                <c:pt idx="1">
                  <c:v>FA09</c:v>
                </c:pt>
                <c:pt idx="2">
                  <c:v>SP10</c:v>
                </c:pt>
                <c:pt idx="3">
                  <c:v>SU10</c:v>
                </c:pt>
                <c:pt idx="4">
                  <c:v>FA10</c:v>
                </c:pt>
                <c:pt idx="5">
                  <c:v>SP11</c:v>
                </c:pt>
                <c:pt idx="6">
                  <c:v>SU11</c:v>
                </c:pt>
                <c:pt idx="7">
                  <c:v>FA11</c:v>
                </c:pt>
                <c:pt idx="8">
                  <c:v>SP12</c:v>
                </c:pt>
                <c:pt idx="9">
                  <c:v>SU12</c:v>
                </c:pt>
                <c:pt idx="10">
                  <c:v>FA12</c:v>
                </c:pt>
                <c:pt idx="11">
                  <c:v>SP13</c:v>
                </c:pt>
                <c:pt idx="12">
                  <c:v>SU13</c:v>
                </c:pt>
                <c:pt idx="13">
                  <c:v>FA13</c:v>
                </c:pt>
                <c:pt idx="14">
                  <c:v>SP14</c:v>
                </c:pt>
              </c:strCache>
            </c:strRef>
          </c:cat>
          <c:val>
            <c:numRef>
              <c:f>all!$B$24:$B$38</c:f>
              <c:numCache>
                <c:formatCode>General</c:formatCode>
                <c:ptCount val="15"/>
                <c:pt idx="0">
                  <c:v>22.82</c:v>
                </c:pt>
                <c:pt idx="1">
                  <c:v>23.1</c:v>
                </c:pt>
                <c:pt idx="2">
                  <c:v>23.6</c:v>
                </c:pt>
                <c:pt idx="3">
                  <c:v>24.19</c:v>
                </c:pt>
                <c:pt idx="4">
                  <c:v>24.97</c:v>
                </c:pt>
                <c:pt idx="5">
                  <c:v>25.01</c:v>
                </c:pt>
                <c:pt idx="6">
                  <c:v>24.93</c:v>
                </c:pt>
                <c:pt idx="7">
                  <c:v>24.69</c:v>
                </c:pt>
                <c:pt idx="8">
                  <c:v>25.13</c:v>
                </c:pt>
                <c:pt idx="9">
                  <c:v>24.9</c:v>
                </c:pt>
                <c:pt idx="10">
                  <c:v>25.16</c:v>
                </c:pt>
                <c:pt idx="11">
                  <c:v>24.9</c:v>
                </c:pt>
                <c:pt idx="12">
                  <c:v>24.44</c:v>
                </c:pt>
                <c:pt idx="13">
                  <c:v>24.62</c:v>
                </c:pt>
                <c:pt idx="14">
                  <c:v>24.16</c:v>
                </c:pt>
              </c:numCache>
            </c:numRef>
          </c:val>
          <c:smooth val="0"/>
        </c:ser>
        <c:dLbls>
          <c:showLegendKey val="0"/>
          <c:showVal val="0"/>
          <c:showCatName val="0"/>
          <c:showSerName val="0"/>
          <c:showPercent val="0"/>
          <c:showBubbleSize val="0"/>
        </c:dLbls>
        <c:marker val="1"/>
        <c:smooth val="0"/>
        <c:axId val="218943608"/>
        <c:axId val="218944000"/>
      </c:lineChart>
      <c:catAx>
        <c:axId val="218943608"/>
        <c:scaling>
          <c:orientation val="minMax"/>
        </c:scaling>
        <c:delete val="0"/>
        <c:axPos val="b"/>
        <c:numFmt formatCode="General" sourceLinked="1"/>
        <c:majorTickMark val="out"/>
        <c:minorTickMark val="none"/>
        <c:tickLblPos val="nextTo"/>
        <c:spPr>
          <a:ln w="3170">
            <a:solidFill>
              <a:srgbClr val="000000"/>
            </a:solidFill>
            <a:prstDash val="solid"/>
          </a:ln>
        </c:spPr>
        <c:txPr>
          <a:bodyPr rot="-2700000" vert="horz"/>
          <a:lstStyle/>
          <a:p>
            <a:pPr>
              <a:defRPr sz="999" b="0" i="0" u="none" strike="noStrike" baseline="0">
                <a:solidFill>
                  <a:srgbClr val="000000"/>
                </a:solidFill>
                <a:latin typeface="Arial"/>
                <a:ea typeface="Arial"/>
                <a:cs typeface="Arial"/>
              </a:defRPr>
            </a:pPr>
            <a:endParaRPr lang="en-US"/>
          </a:p>
        </c:txPr>
        <c:crossAx val="218944000"/>
        <c:crosses val="autoZero"/>
        <c:auto val="1"/>
        <c:lblAlgn val="ctr"/>
        <c:lblOffset val="100"/>
        <c:tickLblSkip val="1"/>
        <c:tickMarkSkip val="1"/>
        <c:noMultiLvlLbl val="0"/>
      </c:catAx>
      <c:valAx>
        <c:axId val="218944000"/>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548" b="0" i="0" u="none" strike="noStrike" baseline="0">
                <a:solidFill>
                  <a:srgbClr val="000000"/>
                </a:solidFill>
                <a:latin typeface="Arial"/>
                <a:ea typeface="Arial"/>
                <a:cs typeface="Arial"/>
              </a:defRPr>
            </a:pPr>
            <a:endParaRPr lang="en-US"/>
          </a:p>
        </c:txPr>
        <c:crossAx val="218943608"/>
        <c:crosses val="autoZero"/>
        <c:crossBetween val="between"/>
      </c:valAx>
      <c:spPr>
        <a:solidFill>
          <a:srgbClr val="00FFFF"/>
        </a:solidFill>
        <a:ln w="12682">
          <a:solidFill>
            <a:srgbClr val="808080"/>
          </a:solidFill>
          <a:prstDash val="solid"/>
        </a:ln>
      </c:spPr>
    </c:plotArea>
    <c:plotVisOnly val="1"/>
    <c:dispBlanksAs val="gap"/>
    <c:showDLblsOverMax val="0"/>
  </c:chart>
  <c:spPr>
    <a:solidFill>
      <a:srgbClr val="FFFFFF"/>
    </a:solidFill>
    <a:ln w="3170">
      <a:solidFill>
        <a:srgbClr val="000000"/>
      </a:solidFill>
      <a:prstDash val="solid"/>
    </a:ln>
  </c:spPr>
  <c:txPr>
    <a:bodyPr/>
    <a:lstStyle/>
    <a:p>
      <a:pPr>
        <a:defRPr sz="1548"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41" b="0" i="0" u="none" strike="noStrike" baseline="0">
                <a:solidFill>
                  <a:srgbClr val="000000"/>
                </a:solidFill>
                <a:latin typeface="Arial"/>
                <a:ea typeface="Arial"/>
                <a:cs typeface="Arial"/>
              </a:defRPr>
            </a:pPr>
            <a:r>
              <a:rPr lang="en-US" sz="1739" b="1" i="0" u="none" strike="noStrike" baseline="0">
                <a:solidFill>
                  <a:srgbClr val="000000"/>
                </a:solidFill>
                <a:latin typeface="Arial"/>
                <a:cs typeface="Arial"/>
              </a:rPr>
              <a:t>Watson-Glaser Analysis</a:t>
            </a:r>
          </a:p>
          <a:p>
            <a:pPr>
              <a:defRPr sz="1141" b="0" i="0" u="none" strike="noStrike" baseline="0">
                <a:solidFill>
                  <a:srgbClr val="000000"/>
                </a:solidFill>
                <a:latin typeface="Arial"/>
                <a:ea typeface="Arial"/>
                <a:cs typeface="Arial"/>
              </a:defRPr>
            </a:pPr>
            <a:r>
              <a:rPr lang="en-US" sz="1107" b="1" i="0" u="none" strike="noStrike" baseline="0">
                <a:solidFill>
                  <a:srgbClr val="000000"/>
                </a:solidFill>
                <a:latin typeface="Arial"/>
                <a:cs typeface="Arial"/>
              </a:rPr>
              <a:t>Summer 2013 &amp; Summer 2012 Mean Score Comparison</a:t>
            </a:r>
          </a:p>
        </c:rich>
      </c:tx>
      <c:layout>
        <c:manualLayout>
          <c:xMode val="edge"/>
          <c:yMode val="edge"/>
          <c:x val="0.13362080101570992"/>
          <c:y val="9.6419632376414932E-3"/>
        </c:manualLayout>
      </c:layout>
      <c:overlay val="0"/>
      <c:spPr>
        <a:noFill/>
        <a:ln w="20083">
          <a:noFill/>
        </a:ln>
      </c:spPr>
    </c:title>
    <c:autoTitleDeleted val="0"/>
    <c:plotArea>
      <c:layout>
        <c:manualLayout>
          <c:layoutTarget val="inner"/>
          <c:xMode val="edge"/>
          <c:yMode val="edge"/>
          <c:x val="0.16379333326785497"/>
          <c:y val="0.12396710890031652"/>
          <c:w val="0.79454134471161175"/>
          <c:h val="0.65013861556610475"/>
        </c:manualLayout>
      </c:layout>
      <c:barChart>
        <c:barDir val="col"/>
        <c:grouping val="clustered"/>
        <c:varyColors val="0"/>
        <c:ser>
          <c:idx val="0"/>
          <c:order val="0"/>
          <c:tx>
            <c:v>Summer 2013</c:v>
          </c:tx>
          <c:spPr>
            <a:solidFill>
              <a:srgbClr val="9999FF"/>
            </a:solidFill>
            <a:ln w="10042">
              <a:solidFill>
                <a:srgbClr val="000000"/>
              </a:solidFill>
              <a:prstDash val="solid"/>
            </a:ln>
          </c:spPr>
          <c:invertIfNegative val="0"/>
          <c:dLbls>
            <c:spPr>
              <a:noFill/>
              <a:ln w="20083">
                <a:noFill/>
              </a:ln>
            </c:spPr>
            <c:txPr>
              <a:bodyPr/>
              <a:lstStyle/>
              <a:p>
                <a:pPr>
                  <a:defRPr sz="791"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'SU13 Chart'!$B$47:$F$47</c:f>
              <c:numCache>
                <c:formatCode>0.00</c:formatCode>
                <c:ptCount val="5"/>
                <c:pt idx="0">
                  <c:v>3.46319018404908</c:v>
                </c:pt>
                <c:pt idx="1">
                  <c:v>4.9815950920245395</c:v>
                </c:pt>
                <c:pt idx="2">
                  <c:v>5.6901840490797548</c:v>
                </c:pt>
                <c:pt idx="3">
                  <c:v>3.9911887017746115</c:v>
                </c:pt>
                <c:pt idx="4">
                  <c:v>6.3539753777741179</c:v>
                </c:pt>
              </c:numCache>
            </c:numRef>
          </c:val>
        </c:ser>
        <c:ser>
          <c:idx val="1"/>
          <c:order val="1"/>
          <c:tx>
            <c:v>Summer 2012</c:v>
          </c:tx>
          <c:spPr>
            <a:solidFill>
              <a:srgbClr val="993366"/>
            </a:solidFill>
            <a:ln w="10042">
              <a:solidFill>
                <a:srgbClr val="000000"/>
              </a:solidFill>
              <a:prstDash val="solid"/>
            </a:ln>
          </c:spPr>
          <c:invertIfNegative val="0"/>
          <c:dLbls>
            <c:spPr>
              <a:noFill/>
              <a:ln w="20083">
                <a:noFill/>
              </a:ln>
            </c:spPr>
            <c:txPr>
              <a:bodyPr/>
              <a:lstStyle/>
              <a:p>
                <a:pPr>
                  <a:defRPr sz="791"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'SU13 Chart'!$B$48:$F$48</c:f>
              <c:numCache>
                <c:formatCode>0.00</c:formatCode>
                <c:ptCount val="5"/>
                <c:pt idx="0">
                  <c:v>3.68760920209668</c:v>
                </c:pt>
                <c:pt idx="1">
                  <c:v>4.912201514269074</c:v>
                </c:pt>
                <c:pt idx="2">
                  <c:v>5.8834813628421667</c:v>
                </c:pt>
                <c:pt idx="3">
                  <c:v>3.9700240244612699</c:v>
                </c:pt>
                <c:pt idx="4">
                  <c:v>6.4384828188701224</c:v>
                </c:pt>
              </c:numCache>
            </c:numRef>
          </c:val>
        </c:ser>
        <c:ser>
          <c:idx val="2"/>
          <c:order val="2"/>
          <c:tx>
            <c:v>Possible Score</c:v>
          </c:tx>
          <c:spPr>
            <a:solidFill>
              <a:srgbClr val="FFFFCC"/>
            </a:solidFill>
            <a:ln w="10042">
              <a:solidFill>
                <a:srgbClr val="000000"/>
              </a:solidFill>
              <a:prstDash val="solid"/>
            </a:ln>
          </c:spPr>
          <c:invertIfNegative val="0"/>
          <c:dLbls>
            <c:spPr>
              <a:noFill/>
              <a:ln w="20083">
                <a:noFill/>
              </a:ln>
            </c:spPr>
            <c:txPr>
              <a:bodyPr/>
              <a:lstStyle/>
              <a:p>
                <a:pPr>
                  <a:defRPr sz="791"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'SU13 Chart'!$B$49:$F$49</c:f>
              <c:numCache>
                <c:formatCode>0.00</c:formatCode>
                <c:ptCount val="5"/>
                <c:pt idx="0">
                  <c:v>7</c:v>
                </c:pt>
                <c:pt idx="1">
                  <c:v>8</c:v>
                </c:pt>
                <c:pt idx="2">
                  <c:v>9</c:v>
                </c:pt>
                <c:pt idx="3">
                  <c:v>7</c:v>
                </c:pt>
                <c:pt idx="4">
                  <c:v>9</c:v>
                </c:pt>
              </c:numCache>
            </c:numRef>
          </c:val>
        </c:ser>
        <c:dLbls>
          <c:showLegendKey val="0"/>
          <c:showVal val="0"/>
          <c:showCatName val="0"/>
          <c:showSerName val="0"/>
          <c:showPercent val="0"/>
          <c:showBubbleSize val="0"/>
        </c:dLbls>
        <c:gapWidth val="50"/>
        <c:axId val="218944784"/>
        <c:axId val="218945176"/>
      </c:barChart>
      <c:catAx>
        <c:axId val="218944784"/>
        <c:scaling>
          <c:orientation val="minMax"/>
        </c:scaling>
        <c:delete val="0"/>
        <c:axPos val="b"/>
        <c:numFmt formatCode="@" sourceLinked="0"/>
        <c:majorTickMark val="out"/>
        <c:minorTickMark val="none"/>
        <c:tickLblPos val="nextTo"/>
        <c:spPr>
          <a:ln w="2510">
            <a:solidFill>
              <a:srgbClr val="000000"/>
            </a:solidFill>
            <a:prstDash val="solid"/>
          </a:ln>
        </c:spPr>
        <c:txPr>
          <a:bodyPr rot="0" vert="horz"/>
          <a:lstStyle/>
          <a:p>
            <a:pPr>
              <a:defRPr sz="1443" b="0" i="0" u="none" strike="noStrike" baseline="0">
                <a:solidFill>
                  <a:srgbClr val="000000"/>
                </a:solidFill>
                <a:latin typeface="Arial"/>
                <a:ea typeface="Arial"/>
                <a:cs typeface="Arial"/>
              </a:defRPr>
            </a:pPr>
            <a:endParaRPr lang="en-US"/>
          </a:p>
        </c:txPr>
        <c:crossAx val="218945176"/>
        <c:crosses val="autoZero"/>
        <c:auto val="1"/>
        <c:lblAlgn val="ctr"/>
        <c:lblOffset val="100"/>
        <c:tickMarkSkip val="1"/>
        <c:noMultiLvlLbl val="0"/>
      </c:catAx>
      <c:valAx>
        <c:axId val="218945176"/>
        <c:scaling>
          <c:orientation val="minMax"/>
          <c:max val="10"/>
        </c:scaling>
        <c:delete val="0"/>
        <c:axPos val="l"/>
        <c:majorGridlines>
          <c:spPr>
            <a:ln w="2510">
              <a:solidFill>
                <a:srgbClr val="000000"/>
              </a:solidFill>
              <a:prstDash val="solid"/>
            </a:ln>
          </c:spPr>
        </c:majorGridlines>
        <c:numFmt formatCode="0.00" sourceLinked="0"/>
        <c:majorTickMark val="out"/>
        <c:minorTickMark val="none"/>
        <c:tickLblPos val="nextTo"/>
        <c:spPr>
          <a:ln w="2510">
            <a:solidFill>
              <a:srgbClr val="000000"/>
            </a:solidFill>
            <a:prstDash val="solid"/>
          </a:ln>
        </c:spPr>
        <c:txPr>
          <a:bodyPr rot="0" vert="horz"/>
          <a:lstStyle/>
          <a:p>
            <a:pPr>
              <a:defRPr sz="791" b="0" i="0" u="none" strike="noStrike" baseline="0">
                <a:solidFill>
                  <a:srgbClr val="000000"/>
                </a:solidFill>
                <a:latin typeface="Arial"/>
                <a:ea typeface="Arial"/>
                <a:cs typeface="Arial"/>
              </a:defRPr>
            </a:pPr>
            <a:endParaRPr lang="en-US"/>
          </a:p>
        </c:txPr>
        <c:crossAx val="218944784"/>
        <c:crosses val="autoZero"/>
        <c:crossBetween val="between"/>
        <c:majorUnit val="2"/>
      </c:valAx>
      <c:dTable>
        <c:showHorzBorder val="1"/>
        <c:showVertBorder val="1"/>
        <c:showOutline val="1"/>
        <c:showKeys val="1"/>
        <c:spPr>
          <a:ln w="2510">
            <a:solidFill>
              <a:srgbClr val="000000"/>
            </a:solidFill>
            <a:prstDash val="solid"/>
          </a:ln>
        </c:spPr>
        <c:txPr>
          <a:bodyPr/>
          <a:lstStyle/>
          <a:p>
            <a:pPr rtl="0">
              <a:defRPr sz="751" b="0" i="0" u="none" strike="noStrike" baseline="0">
                <a:solidFill>
                  <a:srgbClr val="000000"/>
                </a:solidFill>
                <a:latin typeface="Arial"/>
                <a:ea typeface="Arial"/>
                <a:cs typeface="Arial"/>
              </a:defRPr>
            </a:pPr>
            <a:endParaRPr lang="en-US"/>
          </a:p>
        </c:txPr>
      </c:dTable>
      <c:spPr>
        <a:solidFill>
          <a:srgbClr val="C0C0C0"/>
        </a:solidFill>
        <a:ln w="10042">
          <a:solidFill>
            <a:srgbClr val="808080"/>
          </a:solidFill>
          <a:prstDash val="solid"/>
        </a:ln>
      </c:spPr>
    </c:plotArea>
    <c:plotVisOnly val="1"/>
    <c:dispBlanksAs val="gap"/>
    <c:showDLblsOverMax val="0"/>
  </c:chart>
  <c:spPr>
    <a:solidFill>
      <a:srgbClr val="FFFFFF"/>
    </a:solidFill>
    <a:ln>
      <a:noFill/>
    </a:ln>
  </c:spPr>
  <c:txPr>
    <a:bodyPr/>
    <a:lstStyle/>
    <a:p>
      <a:pPr>
        <a:defRPr sz="1443"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19" b="0" i="0" u="none" strike="noStrike" baseline="0">
                <a:solidFill>
                  <a:srgbClr val="000000"/>
                </a:solidFill>
                <a:latin typeface="Arial"/>
                <a:ea typeface="Arial"/>
                <a:cs typeface="Arial"/>
              </a:defRPr>
            </a:pPr>
            <a:r>
              <a:rPr lang="en-US" sz="2197" b="1" i="0" u="none" strike="noStrike" baseline="0">
                <a:solidFill>
                  <a:srgbClr val="000000"/>
                </a:solidFill>
                <a:latin typeface="Arial"/>
                <a:cs typeface="Arial"/>
              </a:rPr>
              <a:t>Watson-Glaser Analysis</a:t>
            </a:r>
          </a:p>
          <a:p>
            <a:pPr>
              <a:defRPr sz="1819" b="0" i="0" u="none" strike="noStrike" baseline="0">
                <a:solidFill>
                  <a:srgbClr val="000000"/>
                </a:solidFill>
                <a:latin typeface="Arial"/>
                <a:ea typeface="Arial"/>
                <a:cs typeface="Arial"/>
              </a:defRPr>
            </a:pPr>
            <a:r>
              <a:rPr lang="en-US" sz="1398" b="1" i="0" u="none" strike="noStrike" baseline="0">
                <a:solidFill>
                  <a:srgbClr val="000000"/>
                </a:solidFill>
                <a:latin typeface="Arial"/>
                <a:cs typeface="Arial"/>
              </a:rPr>
              <a:t>Fall 2012 &amp; Fall 2013 Mean Score Comparison</a:t>
            </a:r>
          </a:p>
        </c:rich>
      </c:tx>
      <c:layout>
        <c:manualLayout>
          <c:xMode val="edge"/>
          <c:yMode val="edge"/>
          <c:x val="0.13362080101570992"/>
          <c:y val="9.6419632376414932E-3"/>
        </c:manualLayout>
      </c:layout>
      <c:overlay val="0"/>
      <c:spPr>
        <a:noFill/>
        <a:ln w="25364">
          <a:noFill/>
        </a:ln>
      </c:spPr>
    </c:title>
    <c:autoTitleDeleted val="0"/>
    <c:plotArea>
      <c:layout>
        <c:manualLayout>
          <c:layoutTarget val="inner"/>
          <c:xMode val="edge"/>
          <c:yMode val="edge"/>
          <c:x val="0.16379333326785497"/>
          <c:y val="0.12396710890031652"/>
          <c:w val="0.79454134471161175"/>
          <c:h val="0.65013861556610475"/>
        </c:manualLayout>
      </c:layout>
      <c:barChart>
        <c:barDir val="col"/>
        <c:grouping val="clustered"/>
        <c:varyColors val="0"/>
        <c:ser>
          <c:idx val="0"/>
          <c:order val="0"/>
          <c:tx>
            <c:v>Fall 2013</c:v>
          </c:tx>
          <c:spPr>
            <a:solidFill>
              <a:srgbClr val="9999FF"/>
            </a:solidFill>
            <a:ln w="12682">
              <a:solidFill>
                <a:srgbClr val="000000"/>
              </a:solidFill>
              <a:prstDash val="solid"/>
            </a:ln>
          </c:spPr>
          <c:invertIfNegative val="0"/>
          <c:dLbls>
            <c:spPr>
              <a:noFill/>
              <a:ln w="25364">
                <a:noFill/>
              </a:ln>
            </c:spPr>
            <c:txPr>
              <a:bodyPr/>
              <a:lstStyle/>
              <a:p>
                <a:pPr>
                  <a:defRPr sz="999"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'Fall 2013 Chart'!$A$45:$E$45</c:f>
              <c:numCache>
                <c:formatCode>0.00</c:formatCode>
                <c:ptCount val="5"/>
                <c:pt idx="0">
                  <c:v>3.5583456425406204</c:v>
                </c:pt>
                <c:pt idx="1">
                  <c:v>4.8271787296898081</c:v>
                </c:pt>
                <c:pt idx="2">
                  <c:v>5.8271787296898081</c:v>
                </c:pt>
                <c:pt idx="3">
                  <c:v>3.9098966026587889</c:v>
                </c:pt>
                <c:pt idx="4">
                  <c:v>6.5066469719350071</c:v>
                </c:pt>
              </c:numCache>
            </c:numRef>
          </c:val>
        </c:ser>
        <c:ser>
          <c:idx val="1"/>
          <c:order val="1"/>
          <c:tx>
            <c:v>Fall 2012</c:v>
          </c:tx>
          <c:spPr>
            <a:solidFill>
              <a:srgbClr val="993366"/>
            </a:solidFill>
            <a:ln w="12682">
              <a:solidFill>
                <a:srgbClr val="000000"/>
              </a:solidFill>
              <a:prstDash val="solid"/>
            </a:ln>
          </c:spPr>
          <c:invertIfNegative val="0"/>
          <c:dLbls>
            <c:spPr>
              <a:noFill/>
              <a:ln w="25364">
                <a:noFill/>
              </a:ln>
            </c:spPr>
            <c:txPr>
              <a:bodyPr/>
              <a:lstStyle/>
              <a:p>
                <a:pPr>
                  <a:defRPr sz="999"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'Fall 2013 Chart'!$A$46:$E$46</c:f>
              <c:numCache>
                <c:formatCode>0.00</c:formatCode>
                <c:ptCount val="5"/>
                <c:pt idx="0">
                  <c:v>3.7489539748953975</c:v>
                </c:pt>
                <c:pt idx="1">
                  <c:v>4.9470013947001394</c:v>
                </c:pt>
                <c:pt idx="2">
                  <c:v>5.9177126917712695</c:v>
                </c:pt>
                <c:pt idx="3">
                  <c:v>4.0557880055788003</c:v>
                </c:pt>
                <c:pt idx="4">
                  <c:v>6.4993026499302653</c:v>
                </c:pt>
              </c:numCache>
            </c:numRef>
          </c:val>
        </c:ser>
        <c:ser>
          <c:idx val="2"/>
          <c:order val="2"/>
          <c:tx>
            <c:v>Possible Score</c:v>
          </c:tx>
          <c:spPr>
            <a:solidFill>
              <a:srgbClr val="FFFFCC"/>
            </a:solidFill>
            <a:ln w="12682">
              <a:solidFill>
                <a:srgbClr val="000000"/>
              </a:solidFill>
              <a:prstDash val="solid"/>
            </a:ln>
          </c:spPr>
          <c:invertIfNegative val="0"/>
          <c:dLbls>
            <c:spPr>
              <a:noFill/>
              <a:ln w="25364">
                <a:noFill/>
              </a:ln>
            </c:spPr>
            <c:txPr>
              <a:bodyPr/>
              <a:lstStyle/>
              <a:p>
                <a:pPr>
                  <a:defRPr sz="999"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'Fall 2013 Table'!$D$7:$H$7</c:f>
              <c:numCache>
                <c:formatCode>0.00</c:formatCode>
                <c:ptCount val="5"/>
                <c:pt idx="0">
                  <c:v>7</c:v>
                </c:pt>
                <c:pt idx="1">
                  <c:v>8</c:v>
                </c:pt>
                <c:pt idx="2">
                  <c:v>9</c:v>
                </c:pt>
                <c:pt idx="3">
                  <c:v>7</c:v>
                </c:pt>
                <c:pt idx="4">
                  <c:v>9</c:v>
                </c:pt>
              </c:numCache>
            </c:numRef>
          </c:val>
        </c:ser>
        <c:dLbls>
          <c:showLegendKey val="0"/>
          <c:showVal val="0"/>
          <c:showCatName val="0"/>
          <c:showSerName val="0"/>
          <c:showPercent val="0"/>
          <c:showBubbleSize val="0"/>
        </c:dLbls>
        <c:gapWidth val="50"/>
        <c:axId val="219725848"/>
        <c:axId val="219726240"/>
      </c:barChart>
      <c:catAx>
        <c:axId val="219725848"/>
        <c:scaling>
          <c:orientation val="minMax"/>
        </c:scaling>
        <c:delete val="0"/>
        <c:axPos val="b"/>
        <c:numFmt formatCode="@" sourceLinked="0"/>
        <c:majorTickMark val="out"/>
        <c:minorTickMark val="none"/>
        <c:tickLblPos val="nextTo"/>
        <c:spPr>
          <a:ln w="3170">
            <a:solidFill>
              <a:srgbClr val="000000"/>
            </a:solidFill>
            <a:prstDash val="solid"/>
          </a:ln>
        </c:spPr>
        <c:txPr>
          <a:bodyPr rot="0" vert="horz"/>
          <a:lstStyle/>
          <a:p>
            <a:pPr>
              <a:defRPr sz="1822" b="0" i="0" u="none" strike="noStrike" baseline="0">
                <a:solidFill>
                  <a:srgbClr val="000000"/>
                </a:solidFill>
                <a:latin typeface="Arial"/>
                <a:ea typeface="Arial"/>
                <a:cs typeface="Arial"/>
              </a:defRPr>
            </a:pPr>
            <a:endParaRPr lang="en-US"/>
          </a:p>
        </c:txPr>
        <c:crossAx val="219726240"/>
        <c:crosses val="autoZero"/>
        <c:auto val="1"/>
        <c:lblAlgn val="ctr"/>
        <c:lblOffset val="100"/>
        <c:tickMarkSkip val="1"/>
        <c:noMultiLvlLbl val="0"/>
      </c:catAx>
      <c:valAx>
        <c:axId val="219726240"/>
        <c:scaling>
          <c:orientation val="minMax"/>
          <c:max val="10"/>
        </c:scaling>
        <c:delete val="0"/>
        <c:axPos val="l"/>
        <c:majorGridlines>
          <c:spPr>
            <a:ln w="3170">
              <a:solidFill>
                <a:srgbClr val="000000"/>
              </a:solidFill>
              <a:prstDash val="solid"/>
            </a:ln>
          </c:spPr>
        </c:majorGridlines>
        <c:numFmt formatCode="0.00" sourceLinked="0"/>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219725848"/>
        <c:crosses val="autoZero"/>
        <c:crossBetween val="between"/>
        <c:majorUnit val="2"/>
      </c:valAx>
      <c:dTable>
        <c:showHorzBorder val="1"/>
        <c:showVertBorder val="1"/>
        <c:showOutline val="1"/>
        <c:showKeys val="1"/>
        <c:spPr>
          <a:ln w="3170">
            <a:solidFill>
              <a:srgbClr val="000000"/>
            </a:solidFill>
            <a:prstDash val="solid"/>
          </a:ln>
        </c:spPr>
        <c:txPr>
          <a:bodyPr/>
          <a:lstStyle/>
          <a:p>
            <a:pPr rtl="0">
              <a:defRPr sz="949" b="0" i="0" u="none" strike="noStrike" baseline="0">
                <a:solidFill>
                  <a:srgbClr val="000000"/>
                </a:solidFill>
                <a:latin typeface="Arial"/>
                <a:ea typeface="Arial"/>
                <a:cs typeface="Arial"/>
              </a:defRPr>
            </a:pPr>
            <a:endParaRPr lang="en-US"/>
          </a:p>
        </c:txPr>
      </c:dTable>
      <c:spPr>
        <a:solidFill>
          <a:srgbClr val="C0C0C0"/>
        </a:solidFill>
        <a:ln w="12682">
          <a:solidFill>
            <a:srgbClr val="808080"/>
          </a:solidFill>
          <a:prstDash val="solid"/>
        </a:ln>
      </c:spPr>
    </c:plotArea>
    <c:plotVisOnly val="1"/>
    <c:dispBlanksAs val="gap"/>
    <c:showDLblsOverMax val="0"/>
  </c:chart>
  <c:spPr>
    <a:solidFill>
      <a:srgbClr val="FFFFFF"/>
    </a:solidFill>
    <a:ln>
      <a:noFill/>
    </a:ln>
  </c:spPr>
  <c:txPr>
    <a:bodyPr/>
    <a:lstStyle/>
    <a:p>
      <a:pPr>
        <a:defRPr sz="1822"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19" b="0" i="0" u="none" strike="noStrike" baseline="0">
                <a:solidFill>
                  <a:srgbClr val="000000"/>
                </a:solidFill>
                <a:latin typeface="Arial"/>
                <a:ea typeface="Arial"/>
                <a:cs typeface="Arial"/>
              </a:defRPr>
            </a:pPr>
            <a:r>
              <a:rPr lang="en-US" sz="2197" b="1" i="0" u="none" strike="noStrike" baseline="0">
                <a:solidFill>
                  <a:srgbClr val="000000"/>
                </a:solidFill>
                <a:latin typeface="Arial"/>
                <a:cs typeface="Arial"/>
              </a:rPr>
              <a:t>Watson-Glaser Analysis</a:t>
            </a:r>
          </a:p>
          <a:p>
            <a:pPr>
              <a:defRPr sz="1819" b="0" i="0" u="none" strike="noStrike" baseline="0">
                <a:solidFill>
                  <a:srgbClr val="000000"/>
                </a:solidFill>
                <a:latin typeface="Arial"/>
                <a:ea typeface="Arial"/>
                <a:cs typeface="Arial"/>
              </a:defRPr>
            </a:pPr>
            <a:r>
              <a:rPr lang="en-US" sz="1398" b="1" i="0" u="none" strike="noStrike" baseline="0">
                <a:solidFill>
                  <a:srgbClr val="000000"/>
                </a:solidFill>
                <a:latin typeface="Arial"/>
                <a:cs typeface="Arial"/>
              </a:rPr>
              <a:t>Spring 2013 &amp; Spring 2014 Mean Score Comparison</a:t>
            </a:r>
          </a:p>
        </c:rich>
      </c:tx>
      <c:layout>
        <c:manualLayout>
          <c:xMode val="edge"/>
          <c:yMode val="edge"/>
          <c:x val="0.13362080101570992"/>
          <c:y val="9.6419632376414932E-3"/>
        </c:manualLayout>
      </c:layout>
      <c:overlay val="0"/>
      <c:spPr>
        <a:noFill/>
        <a:ln w="25364">
          <a:noFill/>
        </a:ln>
      </c:spPr>
    </c:title>
    <c:autoTitleDeleted val="0"/>
    <c:plotArea>
      <c:layout>
        <c:manualLayout>
          <c:layoutTarget val="inner"/>
          <c:xMode val="edge"/>
          <c:yMode val="edge"/>
          <c:x val="0.16379333326785497"/>
          <c:y val="0.12396710890031652"/>
          <c:w val="0.79454134471161175"/>
          <c:h val="0.65013861556610475"/>
        </c:manualLayout>
      </c:layout>
      <c:barChart>
        <c:barDir val="col"/>
        <c:grouping val="clustered"/>
        <c:varyColors val="0"/>
        <c:ser>
          <c:idx val="0"/>
          <c:order val="0"/>
          <c:tx>
            <c:v>Spring 2014</c:v>
          </c:tx>
          <c:spPr>
            <a:solidFill>
              <a:srgbClr val="9999FF"/>
            </a:solidFill>
            <a:ln w="12682">
              <a:solidFill>
                <a:srgbClr val="000000"/>
              </a:solidFill>
              <a:prstDash val="solid"/>
            </a:ln>
          </c:spPr>
          <c:invertIfNegative val="0"/>
          <c:dLbls>
            <c:spPr>
              <a:noFill/>
              <a:ln w="25364">
                <a:noFill/>
              </a:ln>
            </c:spPr>
            <c:txPr>
              <a:bodyPr/>
              <a:lstStyle/>
              <a:p>
                <a:pPr>
                  <a:defRPr sz="999"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'SP14 Chart'!$A$46:$E$46</c:f>
              <c:numCache>
                <c:formatCode>0.00</c:formatCode>
                <c:ptCount val="5"/>
                <c:pt idx="0">
                  <c:v>3.610787172011662</c:v>
                </c:pt>
                <c:pt idx="1">
                  <c:v>4.7434402332361518</c:v>
                </c:pt>
                <c:pt idx="2">
                  <c:v>5.6005830903790086</c:v>
                </c:pt>
                <c:pt idx="3">
                  <c:v>3.8848396501457727</c:v>
                </c:pt>
                <c:pt idx="4">
                  <c:v>6.3206997084548107</c:v>
                </c:pt>
              </c:numCache>
            </c:numRef>
          </c:val>
        </c:ser>
        <c:ser>
          <c:idx val="1"/>
          <c:order val="1"/>
          <c:tx>
            <c:v>Spring 2013</c:v>
          </c:tx>
          <c:spPr>
            <a:solidFill>
              <a:srgbClr val="993366"/>
            </a:solidFill>
            <a:ln w="12682">
              <a:solidFill>
                <a:srgbClr val="000000"/>
              </a:solidFill>
              <a:prstDash val="solid"/>
            </a:ln>
          </c:spPr>
          <c:invertIfNegative val="0"/>
          <c:dLbls>
            <c:spPr>
              <a:noFill/>
              <a:ln w="25364">
                <a:noFill/>
              </a:ln>
            </c:spPr>
            <c:txPr>
              <a:bodyPr/>
              <a:lstStyle/>
              <a:p>
                <a:pPr>
                  <a:defRPr sz="999"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'SP14 Chart'!$A$47:$E$47</c:f>
              <c:numCache>
                <c:formatCode>0.00</c:formatCode>
                <c:ptCount val="5"/>
                <c:pt idx="0">
                  <c:v>3.641274238227147</c:v>
                </c:pt>
                <c:pt idx="1">
                  <c:v>4.9390581717451525</c:v>
                </c:pt>
                <c:pt idx="2">
                  <c:v>5.825484764542936</c:v>
                </c:pt>
                <c:pt idx="3">
                  <c:v>4.054016620498615</c:v>
                </c:pt>
                <c:pt idx="4">
                  <c:v>6.4404432132963985</c:v>
                </c:pt>
              </c:numCache>
            </c:numRef>
          </c:val>
        </c:ser>
        <c:ser>
          <c:idx val="2"/>
          <c:order val="2"/>
          <c:tx>
            <c:v>Possible Score</c:v>
          </c:tx>
          <c:spPr>
            <a:solidFill>
              <a:srgbClr val="FFFFCC"/>
            </a:solidFill>
            <a:ln w="12682">
              <a:solidFill>
                <a:srgbClr val="000000"/>
              </a:solidFill>
              <a:prstDash val="solid"/>
            </a:ln>
          </c:spPr>
          <c:invertIfNegative val="0"/>
          <c:dLbls>
            <c:spPr>
              <a:noFill/>
              <a:ln w="25364">
                <a:noFill/>
              </a:ln>
            </c:spPr>
            <c:txPr>
              <a:bodyPr/>
              <a:lstStyle/>
              <a:p>
                <a:pPr>
                  <a:defRPr sz="999"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Lit>
              <c:ptCount val="5"/>
              <c:pt idx="0">
                <c:v>Inference</c:v>
              </c:pt>
              <c:pt idx="1">
                <c:v>Recognition of Assumption</c:v>
              </c:pt>
              <c:pt idx="2">
                <c:v>Deduction</c:v>
              </c:pt>
              <c:pt idx="3">
                <c:v>Interpretation</c:v>
              </c:pt>
              <c:pt idx="4">
                <c:v>Evaluation of Arguments</c:v>
              </c:pt>
            </c:strLit>
          </c:cat>
          <c:val>
            <c:numRef>
              <c:f>'SP14 Table'!$D$7:$H$7</c:f>
              <c:numCache>
                <c:formatCode>0.00</c:formatCode>
                <c:ptCount val="5"/>
                <c:pt idx="0">
                  <c:v>7</c:v>
                </c:pt>
                <c:pt idx="1">
                  <c:v>8</c:v>
                </c:pt>
                <c:pt idx="2">
                  <c:v>9</c:v>
                </c:pt>
                <c:pt idx="3">
                  <c:v>7</c:v>
                </c:pt>
                <c:pt idx="4">
                  <c:v>9</c:v>
                </c:pt>
              </c:numCache>
            </c:numRef>
          </c:val>
        </c:ser>
        <c:dLbls>
          <c:showLegendKey val="0"/>
          <c:showVal val="0"/>
          <c:showCatName val="0"/>
          <c:showSerName val="0"/>
          <c:showPercent val="0"/>
          <c:showBubbleSize val="0"/>
        </c:dLbls>
        <c:gapWidth val="50"/>
        <c:axId val="219727416"/>
        <c:axId val="219727808"/>
      </c:barChart>
      <c:catAx>
        <c:axId val="219727416"/>
        <c:scaling>
          <c:orientation val="minMax"/>
        </c:scaling>
        <c:delete val="0"/>
        <c:axPos val="b"/>
        <c:numFmt formatCode="@" sourceLinked="0"/>
        <c:majorTickMark val="out"/>
        <c:minorTickMark val="none"/>
        <c:tickLblPos val="nextTo"/>
        <c:spPr>
          <a:ln w="3170">
            <a:solidFill>
              <a:srgbClr val="000000"/>
            </a:solidFill>
            <a:prstDash val="solid"/>
          </a:ln>
        </c:spPr>
        <c:txPr>
          <a:bodyPr rot="0" vert="horz"/>
          <a:lstStyle/>
          <a:p>
            <a:pPr>
              <a:defRPr sz="1822" b="0" i="0" u="none" strike="noStrike" baseline="0">
                <a:solidFill>
                  <a:srgbClr val="000000"/>
                </a:solidFill>
                <a:latin typeface="Arial"/>
                <a:ea typeface="Arial"/>
                <a:cs typeface="Arial"/>
              </a:defRPr>
            </a:pPr>
            <a:endParaRPr lang="en-US"/>
          </a:p>
        </c:txPr>
        <c:crossAx val="219727808"/>
        <c:crosses val="autoZero"/>
        <c:auto val="1"/>
        <c:lblAlgn val="ctr"/>
        <c:lblOffset val="100"/>
        <c:tickMarkSkip val="1"/>
        <c:noMultiLvlLbl val="0"/>
      </c:catAx>
      <c:valAx>
        <c:axId val="219727808"/>
        <c:scaling>
          <c:orientation val="minMax"/>
          <c:max val="10"/>
        </c:scaling>
        <c:delete val="0"/>
        <c:axPos val="l"/>
        <c:majorGridlines>
          <c:spPr>
            <a:ln w="3170">
              <a:solidFill>
                <a:srgbClr val="000000"/>
              </a:solidFill>
              <a:prstDash val="solid"/>
            </a:ln>
          </c:spPr>
        </c:majorGridlines>
        <c:numFmt formatCode="0.00" sourceLinked="0"/>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219727416"/>
        <c:crosses val="autoZero"/>
        <c:crossBetween val="between"/>
        <c:majorUnit val="2"/>
      </c:valAx>
      <c:dTable>
        <c:showHorzBorder val="1"/>
        <c:showVertBorder val="1"/>
        <c:showOutline val="1"/>
        <c:showKeys val="1"/>
        <c:spPr>
          <a:ln w="3170">
            <a:solidFill>
              <a:srgbClr val="000000"/>
            </a:solidFill>
            <a:prstDash val="solid"/>
          </a:ln>
        </c:spPr>
        <c:txPr>
          <a:bodyPr/>
          <a:lstStyle/>
          <a:p>
            <a:pPr rtl="0">
              <a:defRPr sz="949" b="0" i="0" u="none" strike="noStrike" baseline="0">
                <a:solidFill>
                  <a:srgbClr val="000000"/>
                </a:solidFill>
                <a:latin typeface="Arial"/>
                <a:ea typeface="Arial"/>
                <a:cs typeface="Arial"/>
              </a:defRPr>
            </a:pPr>
            <a:endParaRPr lang="en-US"/>
          </a:p>
        </c:txPr>
      </c:dTable>
      <c:spPr>
        <a:solidFill>
          <a:srgbClr val="C0C0C0"/>
        </a:solidFill>
        <a:ln w="12682">
          <a:solidFill>
            <a:srgbClr val="808080"/>
          </a:solidFill>
          <a:prstDash val="solid"/>
        </a:ln>
      </c:spPr>
    </c:plotArea>
    <c:plotVisOnly val="1"/>
    <c:dispBlanksAs val="gap"/>
    <c:showDLblsOverMax val="0"/>
  </c:chart>
  <c:spPr>
    <a:solidFill>
      <a:srgbClr val="FFFFFF"/>
    </a:solidFill>
    <a:ln>
      <a:noFill/>
    </a:ln>
  </c:spPr>
  <c:txPr>
    <a:bodyPr/>
    <a:lstStyle/>
    <a:p>
      <a:pPr>
        <a:defRPr sz="1822"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03EB-3BB2-4DBB-8702-9A4A26B0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Eastern Ilinois University</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aacs101</dc:creator>
  <cp:lastModifiedBy>Wendy L Long</cp:lastModifiedBy>
  <cp:revision>2</cp:revision>
  <cp:lastPrinted>2008-06-04T15:53:00Z</cp:lastPrinted>
  <dcterms:created xsi:type="dcterms:W3CDTF">2014-11-14T19:20:00Z</dcterms:created>
  <dcterms:modified xsi:type="dcterms:W3CDTF">2014-11-14T19:20:00Z</dcterms:modified>
</cp:coreProperties>
</file>