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12F5E" w14:textId="16F03905" w:rsidR="003D3333" w:rsidRDefault="00CA2B2B" w:rsidP="00BC435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A2440">
        <w:rPr>
          <w:rFonts w:ascii="Times New Roman" w:hAnsi="Times New Roman" w:cs="Times New Roman"/>
          <w:b/>
        </w:rPr>
        <w:t>CASL’s A</w:t>
      </w:r>
      <w:r w:rsidR="00185647">
        <w:rPr>
          <w:rFonts w:ascii="Times New Roman" w:hAnsi="Times New Roman" w:cs="Times New Roman"/>
          <w:b/>
        </w:rPr>
        <w:t>Y18</w:t>
      </w:r>
      <w:r w:rsidR="00941C91" w:rsidRPr="001A2440">
        <w:rPr>
          <w:rFonts w:ascii="Times New Roman" w:hAnsi="Times New Roman" w:cs="Times New Roman"/>
          <w:b/>
        </w:rPr>
        <w:t xml:space="preserve"> Quantitative Reasoning Data Executive Summary</w:t>
      </w:r>
    </w:p>
    <w:p w14:paraId="18C82BE4" w14:textId="77777777" w:rsidR="00BC4356" w:rsidRPr="001A2440" w:rsidRDefault="00BC4356" w:rsidP="00BC4356">
      <w:pPr>
        <w:spacing w:after="0"/>
        <w:rPr>
          <w:rFonts w:ascii="Times New Roman" w:hAnsi="Times New Roman" w:cs="Times New Roman"/>
          <w:b/>
        </w:rPr>
      </w:pPr>
    </w:p>
    <w:p w14:paraId="56ED935C" w14:textId="6582E65C" w:rsidR="008C3405" w:rsidRDefault="008B736B" w:rsidP="00BC43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of </w:t>
      </w:r>
      <w:proofErr w:type="gramStart"/>
      <w:r>
        <w:rPr>
          <w:rFonts w:ascii="Times New Roman" w:hAnsi="Times New Roman" w:cs="Times New Roman"/>
        </w:rPr>
        <w:t>Fall</w:t>
      </w:r>
      <w:proofErr w:type="gramEnd"/>
      <w:r>
        <w:rPr>
          <w:rFonts w:ascii="Times New Roman" w:hAnsi="Times New Roman" w:cs="Times New Roman"/>
        </w:rPr>
        <w:t xml:space="preserve"> 2018</w:t>
      </w:r>
      <w:r w:rsidR="00B51BF3" w:rsidRPr="001A2440">
        <w:rPr>
          <w:rFonts w:ascii="Times New Roman" w:hAnsi="Times New Roman" w:cs="Times New Roman"/>
        </w:rPr>
        <w:t>, CASL has</w:t>
      </w:r>
      <w:r w:rsidR="00D70300" w:rsidRPr="001A2440">
        <w:rPr>
          <w:rFonts w:ascii="Times New Roman" w:hAnsi="Times New Roman" w:cs="Times New Roman"/>
        </w:rPr>
        <w:t xml:space="preserve"> direct assessment data for the Quantitative Reasoning (QR) learning goal</w:t>
      </w:r>
      <w:r w:rsidR="00B51BF3" w:rsidRPr="001A2440">
        <w:rPr>
          <w:rFonts w:ascii="Times New Roman" w:hAnsi="Times New Roman" w:cs="Times New Roman"/>
        </w:rPr>
        <w:t xml:space="preserve"> from the CL</w:t>
      </w:r>
      <w:r>
        <w:rPr>
          <w:rFonts w:ascii="Times New Roman" w:hAnsi="Times New Roman" w:cs="Times New Roman"/>
        </w:rPr>
        <w:t>A+ exam, given to freshmen in Fall 2017 and seniors in Spring 2018</w:t>
      </w:r>
      <w:r w:rsidR="00C5729F" w:rsidRPr="001A2440">
        <w:rPr>
          <w:rFonts w:ascii="Times New Roman" w:hAnsi="Times New Roman" w:cs="Times New Roman"/>
        </w:rPr>
        <w:t xml:space="preserve">.  Currently, CASL has no plans to administer another direct assessment in QR. </w:t>
      </w:r>
    </w:p>
    <w:p w14:paraId="69CC339A" w14:textId="77777777" w:rsidR="00BC4356" w:rsidRPr="001A2440" w:rsidRDefault="00BC4356" w:rsidP="00BC4356">
      <w:pPr>
        <w:spacing w:after="0"/>
        <w:rPr>
          <w:rFonts w:ascii="Times New Roman" w:hAnsi="Times New Roman" w:cs="Times New Roman"/>
        </w:rPr>
      </w:pPr>
    </w:p>
    <w:p w14:paraId="006B4A12" w14:textId="77777777" w:rsidR="00782293" w:rsidRPr="003F6217" w:rsidRDefault="00782293" w:rsidP="00782293">
      <w:pPr>
        <w:rPr>
          <w:rFonts w:ascii="Times New Roman" w:hAnsi="Times New Roman" w:cs="Times New Roman"/>
          <w:u w:val="single"/>
        </w:rPr>
      </w:pPr>
      <w:r w:rsidRPr="003F6217">
        <w:rPr>
          <w:rFonts w:ascii="Times New Roman" w:hAnsi="Times New Roman" w:cs="Times New Roman"/>
          <w:u w:val="single"/>
        </w:rPr>
        <w:t>NATIONAL SURVEY OF STUDENT ENGAGEMENT (NSSE) [FROM AY17 REPORT]</w:t>
      </w:r>
    </w:p>
    <w:p w14:paraId="2F053A3B" w14:textId="77777777" w:rsidR="00782293" w:rsidRPr="00231731" w:rsidRDefault="00782293" w:rsidP="00782293">
      <w:pPr>
        <w:rPr>
          <w:rFonts w:ascii="Times New Roman" w:hAnsi="Times New Roman" w:cs="Times New Roman"/>
        </w:rPr>
      </w:pPr>
      <w:r w:rsidRPr="00231731">
        <w:rPr>
          <w:rFonts w:ascii="Times New Roman" w:hAnsi="Times New Roman" w:cs="Times New Roman"/>
        </w:rPr>
        <w:t xml:space="preserve">NSSE data related to Quantitative Reasoning is based on survey data from </w:t>
      </w:r>
      <w:r>
        <w:rPr>
          <w:rFonts w:ascii="Times New Roman" w:hAnsi="Times New Roman" w:cs="Times New Roman"/>
        </w:rPr>
        <w:t>222</w:t>
      </w:r>
      <w:r w:rsidRPr="00231731">
        <w:rPr>
          <w:rFonts w:ascii="Times New Roman" w:hAnsi="Times New Roman" w:cs="Times New Roman"/>
        </w:rPr>
        <w:t xml:space="preserve"> EIU freshmen</w:t>
      </w:r>
      <w:r>
        <w:rPr>
          <w:rFonts w:ascii="Times New Roman" w:hAnsi="Times New Roman" w:cs="Times New Roman"/>
        </w:rPr>
        <w:t xml:space="preserve"> &amp; 328</w:t>
      </w:r>
      <w:r w:rsidRPr="00231731">
        <w:rPr>
          <w:rFonts w:ascii="Times New Roman" w:hAnsi="Times New Roman" w:cs="Times New Roman"/>
        </w:rPr>
        <w:t xml:space="preserve"> EIU seniors</w:t>
      </w:r>
      <w:r>
        <w:rPr>
          <w:rFonts w:ascii="Times New Roman" w:hAnsi="Times New Roman" w:cs="Times New Roman"/>
        </w:rPr>
        <w:t xml:space="preserve"> from AY17</w:t>
      </w:r>
      <w:r w:rsidRPr="00231731">
        <w:rPr>
          <w:rFonts w:ascii="Times New Roman" w:hAnsi="Times New Roman" w:cs="Times New Roman"/>
        </w:rPr>
        <w:t xml:space="preserve">.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1530"/>
        <w:gridCol w:w="1643"/>
        <w:gridCol w:w="1800"/>
        <w:gridCol w:w="1710"/>
      </w:tblGrid>
      <w:tr w:rsidR="00782293" w:rsidRPr="00231731" w14:paraId="6F67CFA9" w14:textId="77777777" w:rsidTr="00991B6A">
        <w:trPr>
          <w:jc w:val="center"/>
        </w:trPr>
        <w:tc>
          <w:tcPr>
            <w:tcW w:w="3127" w:type="dxa"/>
            <w:shd w:val="clear" w:color="auto" w:fill="auto"/>
          </w:tcPr>
          <w:p w14:paraId="7697AAEB" w14:textId="77777777" w:rsidR="00782293" w:rsidRPr="00231731" w:rsidRDefault="00782293" w:rsidP="00991B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3384FBA3" w14:textId="77777777" w:rsidR="00782293" w:rsidRPr="00231731" w:rsidRDefault="00782293" w:rsidP="00991B6A">
            <w:pPr>
              <w:rPr>
                <w:rFonts w:ascii="Times New Roman" w:hAnsi="Times New Roman" w:cs="Times New Roman"/>
                <w:b/>
              </w:rPr>
            </w:pPr>
            <w:r w:rsidRPr="00231731">
              <w:rPr>
                <w:rFonts w:ascii="Times New Roman" w:hAnsi="Times New Roman" w:cs="Times New Roman"/>
                <w:b/>
              </w:rPr>
              <w:t>Never</w:t>
            </w:r>
          </w:p>
        </w:tc>
        <w:tc>
          <w:tcPr>
            <w:tcW w:w="1643" w:type="dxa"/>
            <w:shd w:val="clear" w:color="auto" w:fill="auto"/>
          </w:tcPr>
          <w:p w14:paraId="0FB65AA2" w14:textId="77777777" w:rsidR="00782293" w:rsidRPr="00231731" w:rsidRDefault="00782293" w:rsidP="00991B6A">
            <w:pPr>
              <w:rPr>
                <w:rFonts w:ascii="Times New Roman" w:hAnsi="Times New Roman" w:cs="Times New Roman"/>
                <w:b/>
              </w:rPr>
            </w:pPr>
            <w:r w:rsidRPr="00231731">
              <w:rPr>
                <w:rFonts w:ascii="Times New Roman" w:hAnsi="Times New Roman" w:cs="Times New Roman"/>
                <w:b/>
              </w:rPr>
              <w:t>Sometimes</w:t>
            </w:r>
          </w:p>
        </w:tc>
        <w:tc>
          <w:tcPr>
            <w:tcW w:w="1800" w:type="dxa"/>
            <w:shd w:val="clear" w:color="auto" w:fill="auto"/>
          </w:tcPr>
          <w:p w14:paraId="61BFB817" w14:textId="77777777" w:rsidR="00782293" w:rsidRPr="00231731" w:rsidRDefault="00782293" w:rsidP="00991B6A">
            <w:pPr>
              <w:rPr>
                <w:rFonts w:ascii="Times New Roman" w:hAnsi="Times New Roman" w:cs="Times New Roman"/>
                <w:b/>
              </w:rPr>
            </w:pPr>
            <w:r w:rsidRPr="00231731">
              <w:rPr>
                <w:rFonts w:ascii="Times New Roman" w:hAnsi="Times New Roman" w:cs="Times New Roman"/>
                <w:b/>
              </w:rPr>
              <w:t>Often</w:t>
            </w:r>
          </w:p>
        </w:tc>
        <w:tc>
          <w:tcPr>
            <w:tcW w:w="1710" w:type="dxa"/>
            <w:shd w:val="clear" w:color="auto" w:fill="auto"/>
          </w:tcPr>
          <w:p w14:paraId="13062FE3" w14:textId="77777777" w:rsidR="00782293" w:rsidRPr="00231731" w:rsidRDefault="00782293" w:rsidP="00991B6A">
            <w:pPr>
              <w:rPr>
                <w:rFonts w:ascii="Times New Roman" w:hAnsi="Times New Roman" w:cs="Times New Roman"/>
                <w:b/>
              </w:rPr>
            </w:pPr>
            <w:r w:rsidRPr="00231731">
              <w:rPr>
                <w:rFonts w:ascii="Times New Roman" w:hAnsi="Times New Roman" w:cs="Times New Roman"/>
                <w:b/>
              </w:rPr>
              <w:t>Very Often</w:t>
            </w:r>
          </w:p>
        </w:tc>
      </w:tr>
      <w:tr w:rsidR="00782293" w:rsidRPr="00231731" w14:paraId="3149E049" w14:textId="77777777" w:rsidTr="00991B6A">
        <w:trPr>
          <w:jc w:val="center"/>
        </w:trPr>
        <w:tc>
          <w:tcPr>
            <w:tcW w:w="9810" w:type="dxa"/>
            <w:gridSpan w:val="5"/>
            <w:shd w:val="clear" w:color="auto" w:fill="auto"/>
          </w:tcPr>
          <w:p w14:paraId="7C966912" w14:textId="77777777" w:rsidR="00782293" w:rsidRPr="00231731" w:rsidRDefault="00782293" w:rsidP="00991B6A">
            <w:pPr>
              <w:rPr>
                <w:rFonts w:ascii="Times New Roman" w:hAnsi="Times New Roman" w:cs="Times New Roman"/>
                <w:b/>
              </w:rPr>
            </w:pPr>
            <w:r w:rsidRPr="00231731">
              <w:rPr>
                <w:rFonts w:ascii="Times New Roman" w:hAnsi="Times New Roman" w:cs="Times New Roman"/>
                <w:b/>
              </w:rPr>
              <w:t>In coursework, reached conclusions based on own analysis of numerical information</w:t>
            </w:r>
          </w:p>
        </w:tc>
      </w:tr>
      <w:tr w:rsidR="00782293" w:rsidRPr="00231731" w14:paraId="10AD4E51" w14:textId="77777777" w:rsidTr="00991B6A">
        <w:trPr>
          <w:jc w:val="center"/>
        </w:trPr>
        <w:tc>
          <w:tcPr>
            <w:tcW w:w="3127" w:type="dxa"/>
            <w:shd w:val="clear" w:color="auto" w:fill="auto"/>
          </w:tcPr>
          <w:p w14:paraId="7A2E1706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 w:rsidRPr="00231731">
              <w:rPr>
                <w:rFonts w:ascii="Times New Roman" w:hAnsi="Times New Roman" w:cs="Times New Roman"/>
                <w:b/>
              </w:rPr>
              <w:t>EIU</w:t>
            </w:r>
            <w:r>
              <w:rPr>
                <w:rFonts w:ascii="Times New Roman" w:hAnsi="Times New Roman" w:cs="Times New Roman"/>
              </w:rPr>
              <w:t>/ Midwest Public</w:t>
            </w:r>
            <w:r w:rsidRPr="00231731">
              <w:rPr>
                <w:rFonts w:ascii="Times New Roman" w:hAnsi="Times New Roman" w:cs="Times New Roman"/>
              </w:rPr>
              <w:t xml:space="preserve"> </w:t>
            </w:r>
            <w:r w:rsidRPr="00231731">
              <w:rPr>
                <w:rFonts w:ascii="Times New Roman" w:hAnsi="Times New Roman" w:cs="Times New Roman"/>
                <w:b/>
              </w:rPr>
              <w:t>Freshmen</w:t>
            </w:r>
          </w:p>
        </w:tc>
        <w:tc>
          <w:tcPr>
            <w:tcW w:w="1530" w:type="dxa"/>
            <w:shd w:val="clear" w:color="auto" w:fill="auto"/>
          </w:tcPr>
          <w:p w14:paraId="55363E75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11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3" w:type="dxa"/>
            <w:shd w:val="clear" w:color="auto" w:fill="auto"/>
          </w:tcPr>
          <w:p w14:paraId="1D070352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39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14:paraId="31171B16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37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10" w:type="dxa"/>
            <w:shd w:val="clear" w:color="auto" w:fill="auto"/>
          </w:tcPr>
          <w:p w14:paraId="5E76DA9B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13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</w:tr>
      <w:tr w:rsidR="00782293" w:rsidRPr="00231731" w14:paraId="375192CB" w14:textId="77777777" w:rsidTr="00991B6A">
        <w:trPr>
          <w:jc w:val="center"/>
        </w:trPr>
        <w:tc>
          <w:tcPr>
            <w:tcW w:w="3127" w:type="dxa"/>
            <w:shd w:val="clear" w:color="auto" w:fill="auto"/>
          </w:tcPr>
          <w:p w14:paraId="63A24361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 w:rsidRPr="00231731">
              <w:rPr>
                <w:rFonts w:ascii="Times New Roman" w:hAnsi="Times New Roman" w:cs="Times New Roman"/>
                <w:b/>
              </w:rPr>
              <w:t>EIU</w:t>
            </w:r>
            <w:r>
              <w:rPr>
                <w:rFonts w:ascii="Times New Roman" w:hAnsi="Times New Roman" w:cs="Times New Roman"/>
              </w:rPr>
              <w:t>/ Midwest Public</w:t>
            </w:r>
            <w:r w:rsidRPr="00231731">
              <w:rPr>
                <w:rFonts w:ascii="Times New Roman" w:hAnsi="Times New Roman" w:cs="Times New Roman"/>
              </w:rPr>
              <w:t xml:space="preserve"> </w:t>
            </w:r>
            <w:r w:rsidRPr="00231731">
              <w:rPr>
                <w:rFonts w:ascii="Times New Roman" w:hAnsi="Times New Roman" w:cs="Times New Roman"/>
                <w:b/>
              </w:rPr>
              <w:t>Seniors</w:t>
            </w:r>
          </w:p>
        </w:tc>
        <w:tc>
          <w:tcPr>
            <w:tcW w:w="1530" w:type="dxa"/>
            <w:shd w:val="clear" w:color="auto" w:fill="auto"/>
          </w:tcPr>
          <w:p w14:paraId="62FFC4CA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11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3" w:type="dxa"/>
            <w:shd w:val="clear" w:color="auto" w:fill="auto"/>
          </w:tcPr>
          <w:p w14:paraId="092D7073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35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14:paraId="2F3F90F1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35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10" w:type="dxa"/>
            <w:shd w:val="clear" w:color="auto" w:fill="auto"/>
          </w:tcPr>
          <w:p w14:paraId="34A84AFD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19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</w:tr>
      <w:tr w:rsidR="00782293" w:rsidRPr="00231731" w14:paraId="7AF7CA48" w14:textId="77777777" w:rsidTr="00991B6A">
        <w:trPr>
          <w:jc w:val="center"/>
        </w:trPr>
        <w:tc>
          <w:tcPr>
            <w:tcW w:w="9810" w:type="dxa"/>
            <w:gridSpan w:val="5"/>
            <w:shd w:val="clear" w:color="auto" w:fill="auto"/>
          </w:tcPr>
          <w:p w14:paraId="4F794924" w14:textId="77777777" w:rsidR="00782293" w:rsidRPr="00231731" w:rsidRDefault="00782293" w:rsidP="00991B6A">
            <w:pPr>
              <w:rPr>
                <w:rFonts w:ascii="Times New Roman" w:hAnsi="Times New Roman" w:cs="Times New Roman"/>
                <w:b/>
              </w:rPr>
            </w:pPr>
            <w:r w:rsidRPr="00231731">
              <w:rPr>
                <w:rFonts w:ascii="Times New Roman" w:hAnsi="Times New Roman" w:cs="Times New Roman"/>
                <w:b/>
              </w:rPr>
              <w:t xml:space="preserve">Used numerical information to examine a real-world problem or issue (unemployment, climate change, public health, </w:t>
            </w:r>
            <w:proofErr w:type="spellStart"/>
            <w:r w:rsidRPr="00231731">
              <w:rPr>
                <w:rFonts w:ascii="Times New Roman" w:hAnsi="Times New Roman" w:cs="Times New Roman"/>
                <w:b/>
              </w:rPr>
              <w:t>etc</w:t>
            </w:r>
            <w:proofErr w:type="spellEnd"/>
            <w:r w:rsidRPr="0023173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82293" w:rsidRPr="00231731" w14:paraId="6ECFBEB1" w14:textId="77777777" w:rsidTr="00991B6A">
        <w:trPr>
          <w:jc w:val="center"/>
        </w:trPr>
        <w:tc>
          <w:tcPr>
            <w:tcW w:w="3127" w:type="dxa"/>
            <w:shd w:val="clear" w:color="auto" w:fill="auto"/>
          </w:tcPr>
          <w:p w14:paraId="0F18350E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 w:rsidRPr="00231731">
              <w:rPr>
                <w:rFonts w:ascii="Times New Roman" w:hAnsi="Times New Roman" w:cs="Times New Roman"/>
                <w:b/>
              </w:rPr>
              <w:t>EIU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A35351">
              <w:rPr>
                <w:rFonts w:ascii="Times New Roman" w:hAnsi="Times New Roman" w:cs="Times New Roman"/>
              </w:rPr>
              <w:t xml:space="preserve">Midwest Public </w:t>
            </w:r>
            <w:r w:rsidRPr="00231731">
              <w:rPr>
                <w:rFonts w:ascii="Times New Roman" w:hAnsi="Times New Roman" w:cs="Times New Roman"/>
                <w:b/>
              </w:rPr>
              <w:t>Freshmen</w:t>
            </w:r>
          </w:p>
        </w:tc>
        <w:tc>
          <w:tcPr>
            <w:tcW w:w="1530" w:type="dxa"/>
            <w:shd w:val="clear" w:color="auto" w:fill="auto"/>
          </w:tcPr>
          <w:p w14:paraId="2EB8082B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20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3" w:type="dxa"/>
            <w:shd w:val="clear" w:color="auto" w:fill="auto"/>
          </w:tcPr>
          <w:p w14:paraId="651E284B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43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14:paraId="50FCBACF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</w:rPr>
              <w:t>/ 28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10" w:type="dxa"/>
            <w:shd w:val="clear" w:color="auto" w:fill="auto"/>
          </w:tcPr>
          <w:p w14:paraId="0A9770D1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</w:rPr>
              <w:t>/ 9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</w:tr>
      <w:tr w:rsidR="00782293" w:rsidRPr="00231731" w14:paraId="1BDE04FB" w14:textId="77777777" w:rsidTr="00991B6A">
        <w:trPr>
          <w:jc w:val="center"/>
        </w:trPr>
        <w:tc>
          <w:tcPr>
            <w:tcW w:w="3127" w:type="dxa"/>
            <w:shd w:val="clear" w:color="auto" w:fill="auto"/>
          </w:tcPr>
          <w:p w14:paraId="32D3720E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 w:rsidRPr="00231731">
              <w:rPr>
                <w:rFonts w:ascii="Times New Roman" w:hAnsi="Times New Roman" w:cs="Times New Roman"/>
                <w:b/>
              </w:rPr>
              <w:t>EIU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A35351">
              <w:rPr>
                <w:rFonts w:ascii="Times New Roman" w:hAnsi="Times New Roman" w:cs="Times New Roman"/>
              </w:rPr>
              <w:t xml:space="preserve">Midwest Public </w:t>
            </w:r>
            <w:r>
              <w:rPr>
                <w:rFonts w:ascii="Times New Roman" w:hAnsi="Times New Roman" w:cs="Times New Roman"/>
              </w:rPr>
              <w:t>S</w:t>
            </w:r>
            <w:r w:rsidRPr="00231731">
              <w:rPr>
                <w:rFonts w:ascii="Times New Roman" w:hAnsi="Times New Roman" w:cs="Times New Roman"/>
                <w:b/>
              </w:rPr>
              <w:t>eniors</w:t>
            </w:r>
          </w:p>
        </w:tc>
        <w:tc>
          <w:tcPr>
            <w:tcW w:w="1530" w:type="dxa"/>
            <w:shd w:val="clear" w:color="auto" w:fill="auto"/>
          </w:tcPr>
          <w:p w14:paraId="74CB5056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18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3" w:type="dxa"/>
            <w:shd w:val="clear" w:color="auto" w:fill="auto"/>
          </w:tcPr>
          <w:p w14:paraId="36D5D77F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39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14:paraId="44B8FE79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 w:rsidRPr="00231731">
              <w:rPr>
                <w:rFonts w:ascii="Times New Roman" w:hAnsi="Times New Roman" w:cs="Times New Roman"/>
                <w:b/>
              </w:rPr>
              <w:t>27%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28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10" w:type="dxa"/>
            <w:shd w:val="clear" w:color="auto" w:fill="auto"/>
          </w:tcPr>
          <w:p w14:paraId="080751E9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 w:rsidRPr="00231731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14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</w:tr>
      <w:tr w:rsidR="00782293" w:rsidRPr="00231731" w14:paraId="39F4402E" w14:textId="77777777" w:rsidTr="00991B6A">
        <w:trPr>
          <w:jc w:val="center"/>
        </w:trPr>
        <w:tc>
          <w:tcPr>
            <w:tcW w:w="9810" w:type="dxa"/>
            <w:gridSpan w:val="5"/>
            <w:shd w:val="clear" w:color="auto" w:fill="auto"/>
          </w:tcPr>
          <w:p w14:paraId="2F71C08A" w14:textId="77777777" w:rsidR="00782293" w:rsidRPr="00231731" w:rsidRDefault="00782293" w:rsidP="00991B6A">
            <w:pPr>
              <w:rPr>
                <w:rFonts w:ascii="Times New Roman" w:hAnsi="Times New Roman" w:cs="Times New Roman"/>
                <w:b/>
              </w:rPr>
            </w:pPr>
            <w:r w:rsidRPr="00231731">
              <w:rPr>
                <w:rFonts w:ascii="Times New Roman" w:hAnsi="Times New Roman" w:cs="Times New Roman"/>
                <w:b/>
              </w:rPr>
              <w:t>Evaluated what others have concluded from numerical information</w:t>
            </w:r>
          </w:p>
        </w:tc>
      </w:tr>
      <w:tr w:rsidR="00782293" w:rsidRPr="00231731" w14:paraId="1F1A2F5F" w14:textId="77777777" w:rsidTr="00991B6A">
        <w:trPr>
          <w:jc w:val="center"/>
        </w:trPr>
        <w:tc>
          <w:tcPr>
            <w:tcW w:w="3127" w:type="dxa"/>
            <w:shd w:val="clear" w:color="auto" w:fill="auto"/>
          </w:tcPr>
          <w:p w14:paraId="6A4EFA94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 w:rsidRPr="00231731">
              <w:rPr>
                <w:rFonts w:ascii="Times New Roman" w:hAnsi="Times New Roman" w:cs="Times New Roman"/>
                <w:b/>
              </w:rPr>
              <w:t>EIU</w:t>
            </w:r>
            <w:r>
              <w:rPr>
                <w:rFonts w:ascii="Times New Roman" w:hAnsi="Times New Roman" w:cs="Times New Roman"/>
              </w:rPr>
              <w:t>/ Midwest Public</w:t>
            </w:r>
            <w:r w:rsidRPr="00231731">
              <w:rPr>
                <w:rFonts w:ascii="Times New Roman" w:hAnsi="Times New Roman" w:cs="Times New Roman"/>
              </w:rPr>
              <w:t xml:space="preserve"> </w:t>
            </w:r>
            <w:r w:rsidRPr="00231731">
              <w:rPr>
                <w:rFonts w:ascii="Times New Roman" w:hAnsi="Times New Roman" w:cs="Times New Roman"/>
                <w:b/>
              </w:rPr>
              <w:t>Freshmen</w:t>
            </w:r>
          </w:p>
        </w:tc>
        <w:tc>
          <w:tcPr>
            <w:tcW w:w="1530" w:type="dxa"/>
            <w:shd w:val="clear" w:color="auto" w:fill="auto"/>
          </w:tcPr>
          <w:p w14:paraId="72EFDFBF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</w:rPr>
              <w:t>/ 19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3" w:type="dxa"/>
            <w:shd w:val="clear" w:color="auto" w:fill="auto"/>
          </w:tcPr>
          <w:p w14:paraId="7767965F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</w:rPr>
              <w:t>/ 45%</w:t>
            </w:r>
          </w:p>
        </w:tc>
        <w:tc>
          <w:tcPr>
            <w:tcW w:w="1800" w:type="dxa"/>
            <w:shd w:val="clear" w:color="auto" w:fill="auto"/>
          </w:tcPr>
          <w:p w14:paraId="5C00C19B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</w:rPr>
              <w:t>/ 28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10" w:type="dxa"/>
            <w:shd w:val="clear" w:color="auto" w:fill="auto"/>
          </w:tcPr>
          <w:p w14:paraId="24104455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 w:rsidRPr="00231731">
              <w:rPr>
                <w:rFonts w:ascii="Times New Roman" w:hAnsi="Times New Roman" w:cs="Times New Roman"/>
                <w:b/>
              </w:rPr>
              <w:t>9%</w:t>
            </w:r>
            <w:r>
              <w:rPr>
                <w:rFonts w:ascii="Times New Roman" w:hAnsi="Times New Roman" w:cs="Times New Roman"/>
              </w:rPr>
              <w:t>/ 8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</w:tr>
      <w:tr w:rsidR="00782293" w:rsidRPr="00231731" w14:paraId="07219B95" w14:textId="77777777" w:rsidTr="00991B6A">
        <w:trPr>
          <w:jc w:val="center"/>
        </w:trPr>
        <w:tc>
          <w:tcPr>
            <w:tcW w:w="3127" w:type="dxa"/>
            <w:shd w:val="clear" w:color="auto" w:fill="auto"/>
          </w:tcPr>
          <w:p w14:paraId="4A9815B8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 w:rsidRPr="00231731">
              <w:rPr>
                <w:rFonts w:ascii="Times New Roman" w:hAnsi="Times New Roman" w:cs="Times New Roman"/>
                <w:b/>
              </w:rPr>
              <w:t>EIU</w:t>
            </w:r>
            <w:r>
              <w:rPr>
                <w:rFonts w:ascii="Times New Roman" w:hAnsi="Times New Roman" w:cs="Times New Roman"/>
              </w:rPr>
              <w:t>/ Midwest Public</w:t>
            </w:r>
            <w:r w:rsidRPr="00231731">
              <w:rPr>
                <w:rFonts w:ascii="Times New Roman" w:hAnsi="Times New Roman" w:cs="Times New Roman"/>
              </w:rPr>
              <w:t xml:space="preserve"> </w:t>
            </w:r>
            <w:r w:rsidRPr="00231731">
              <w:rPr>
                <w:rFonts w:ascii="Times New Roman" w:hAnsi="Times New Roman" w:cs="Times New Roman"/>
                <w:b/>
              </w:rPr>
              <w:t>Seniors</w:t>
            </w:r>
          </w:p>
        </w:tc>
        <w:tc>
          <w:tcPr>
            <w:tcW w:w="1530" w:type="dxa"/>
            <w:shd w:val="clear" w:color="auto" w:fill="auto"/>
          </w:tcPr>
          <w:p w14:paraId="47861540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</w:rPr>
              <w:t>/ 16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3" w:type="dxa"/>
            <w:shd w:val="clear" w:color="auto" w:fill="auto"/>
          </w:tcPr>
          <w:p w14:paraId="7DEA172E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</w:rPr>
              <w:t>/ 42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14:paraId="1888453C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</w:rPr>
              <w:t>/ 29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10" w:type="dxa"/>
            <w:shd w:val="clear" w:color="auto" w:fill="auto"/>
          </w:tcPr>
          <w:p w14:paraId="3ED4DCA6" w14:textId="77777777" w:rsidR="00782293" w:rsidRPr="00231731" w:rsidRDefault="00782293" w:rsidP="00991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231731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</w:rPr>
              <w:t>/ 13</w:t>
            </w:r>
            <w:r w:rsidRPr="00231731">
              <w:rPr>
                <w:rFonts w:ascii="Times New Roman" w:hAnsi="Times New Roman" w:cs="Times New Roman"/>
              </w:rPr>
              <w:t>%</w:t>
            </w:r>
          </w:p>
        </w:tc>
      </w:tr>
    </w:tbl>
    <w:p w14:paraId="2F5A5D59" w14:textId="77777777" w:rsidR="00782293" w:rsidRDefault="00782293" w:rsidP="007822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21345">
        <w:rPr>
          <w:rFonts w:ascii="Times New Roman" w:hAnsi="Times New Roman" w:cs="Times New Roman"/>
        </w:rPr>
        <w:t xml:space="preserve">Approximately 57% of EIU freshmen and 50% of EIU seniors indicate they have reached conclusions based on their own analysis of numerical information often or very often; </w:t>
      </w:r>
    </w:p>
    <w:p w14:paraId="38BBFE58" w14:textId="77777777" w:rsidR="00782293" w:rsidRPr="00185647" w:rsidRDefault="00782293" w:rsidP="007822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Eight</w:t>
      </w:r>
      <w:r w:rsidRPr="00221345">
        <w:rPr>
          <w:rFonts w:ascii="Times New Roman" w:hAnsi="Times New Roman" w:cs="Times New Roman"/>
        </w:rPr>
        <w:t xml:space="preserve"> percent m</w:t>
      </w:r>
      <w:r>
        <w:rPr>
          <w:rFonts w:ascii="Times New Roman" w:hAnsi="Times New Roman" w:cs="Times New Roman"/>
        </w:rPr>
        <w:t>ore EIU seniors (43%) than EIU freshmen (35</w:t>
      </w:r>
      <w:r w:rsidRPr="00221345">
        <w:rPr>
          <w:rFonts w:ascii="Times New Roman" w:hAnsi="Times New Roman" w:cs="Times New Roman"/>
        </w:rPr>
        <w:t>%) indicate that within their coursework they have used numerical information to examine real-world problems</w:t>
      </w:r>
      <w:r>
        <w:rPr>
          <w:rFonts w:ascii="Times New Roman" w:hAnsi="Times New Roman" w:cs="Times New Roman"/>
        </w:rPr>
        <w:t xml:space="preserve"> often or very often</w:t>
      </w:r>
      <w:r w:rsidRPr="00221345">
        <w:rPr>
          <w:rFonts w:ascii="Times New Roman" w:hAnsi="Times New Roman" w:cs="Times New Roman"/>
        </w:rPr>
        <w:t xml:space="preserve">.  These percentages are </w:t>
      </w:r>
      <w:r>
        <w:rPr>
          <w:rFonts w:ascii="Times New Roman" w:hAnsi="Times New Roman" w:cs="Times New Roman"/>
        </w:rPr>
        <w:t xml:space="preserve">close to </w:t>
      </w:r>
      <w:r w:rsidRPr="00221345">
        <w:rPr>
          <w:rFonts w:ascii="Times New Roman" w:hAnsi="Times New Roman" w:cs="Times New Roman"/>
        </w:rPr>
        <w:t>trends</w:t>
      </w:r>
      <w:r>
        <w:rPr>
          <w:rFonts w:ascii="Times New Roman" w:hAnsi="Times New Roman" w:cs="Times New Roman"/>
        </w:rPr>
        <w:t xml:space="preserve"> at Midwest public institutions. </w:t>
      </w:r>
      <w:r w:rsidRPr="00221345">
        <w:rPr>
          <w:rFonts w:ascii="Times New Roman" w:hAnsi="Times New Roman" w:cs="Times New Roman"/>
        </w:rPr>
        <w:t>Approximately 20% of each level indicate never doing this in classes.</w:t>
      </w:r>
      <w:r w:rsidRPr="00185647">
        <w:t xml:space="preserve"> </w:t>
      </w:r>
    </w:p>
    <w:p w14:paraId="2DF3E37F" w14:textId="3248024F" w:rsidR="00782293" w:rsidRDefault="00782293" w:rsidP="007822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85647">
        <w:rPr>
          <w:rFonts w:ascii="Times New Roman" w:hAnsi="Times New Roman" w:cs="Times New Roman"/>
        </w:rPr>
        <w:t>Three percent less EIU seniors (38%) than EIU freshmen (41%) replied that they had often or very often evaluated what others have concluded from numerical information; again, these percentages are comparable to students at other Midwest public institutions.  Twenty percent of EIU seniors and 18% of EIU freshmen indicate they have never done this in classes.</w:t>
      </w:r>
    </w:p>
    <w:p w14:paraId="0F8D630C" w14:textId="77777777" w:rsidR="00411820" w:rsidRPr="00411820" w:rsidRDefault="00411820" w:rsidP="00411820">
      <w:pPr>
        <w:spacing w:after="0"/>
        <w:rPr>
          <w:rFonts w:ascii="Times New Roman" w:hAnsi="Times New Roman" w:cs="Times New Roman"/>
        </w:rPr>
      </w:pPr>
    </w:p>
    <w:p w14:paraId="2F13DDA9" w14:textId="77777777" w:rsidR="008C3405" w:rsidRPr="001A2440" w:rsidRDefault="008C3405" w:rsidP="008C3405">
      <w:pPr>
        <w:rPr>
          <w:rFonts w:ascii="Times New Roman" w:hAnsi="Times New Roman" w:cs="Times New Roman"/>
          <w:u w:val="single"/>
        </w:rPr>
      </w:pPr>
      <w:r w:rsidRPr="001A2440">
        <w:rPr>
          <w:rFonts w:ascii="Times New Roman" w:hAnsi="Times New Roman" w:cs="Times New Roman"/>
          <w:u w:val="single"/>
        </w:rPr>
        <w:t>CLA+ RESULTS - OVERALL</w:t>
      </w:r>
    </w:p>
    <w:p w14:paraId="282B6860" w14:textId="77777777" w:rsidR="008C3405" w:rsidRPr="001A2440" w:rsidRDefault="008C3405" w:rsidP="008C34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AY 2018</w:t>
      </w:r>
      <w:r w:rsidRPr="001A2440">
        <w:rPr>
          <w:rFonts w:ascii="Times New Roman" w:hAnsi="Times New Roman" w:cs="Times New Roman"/>
        </w:rPr>
        <w:t>, CASL</w:t>
      </w:r>
      <w:r>
        <w:rPr>
          <w:rFonts w:ascii="Times New Roman" w:hAnsi="Times New Roman" w:cs="Times New Roman"/>
        </w:rPr>
        <w:t xml:space="preserve"> administered the CLA+ exam to 84 freshmen and 89</w:t>
      </w:r>
      <w:r w:rsidRPr="001A2440">
        <w:rPr>
          <w:rFonts w:ascii="Times New Roman" w:hAnsi="Times New Roman" w:cs="Times New Roman"/>
        </w:rPr>
        <w:t xml:space="preserve"> senior students.  The mean ov</w:t>
      </w:r>
      <w:r>
        <w:rPr>
          <w:rFonts w:ascii="Times New Roman" w:hAnsi="Times New Roman" w:cs="Times New Roman"/>
        </w:rPr>
        <w:t xml:space="preserve">erall score for freshmen was </w:t>
      </w:r>
      <w:r w:rsidRPr="00C94490">
        <w:rPr>
          <w:rFonts w:ascii="Times New Roman" w:hAnsi="Times New Roman" w:cs="Times New Roman"/>
        </w:rPr>
        <w:t>936</w:t>
      </w:r>
      <w:r>
        <w:rPr>
          <w:rFonts w:ascii="Times New Roman" w:hAnsi="Times New Roman" w:cs="Times New Roman"/>
        </w:rPr>
        <w:t xml:space="preserve"> </w:t>
      </w:r>
      <w:r w:rsidRPr="001A2440">
        <w:rPr>
          <w:rFonts w:ascii="Times New Roman" w:hAnsi="Times New Roman" w:cs="Times New Roman"/>
        </w:rPr>
        <w:t>and for</w:t>
      </w:r>
      <w:r>
        <w:rPr>
          <w:rFonts w:ascii="Times New Roman" w:hAnsi="Times New Roman" w:cs="Times New Roman"/>
        </w:rPr>
        <w:t xml:space="preserve"> seniors was 1035, which corresponds to “below basic”</w:t>
      </w:r>
      <w:r w:rsidRPr="001A24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Pr="001A2440">
        <w:rPr>
          <w:rFonts w:ascii="Times New Roman" w:hAnsi="Times New Roman" w:cs="Times New Roman"/>
        </w:rPr>
        <w:t xml:space="preserve">“basic” level of mastery </w:t>
      </w:r>
      <w:r>
        <w:rPr>
          <w:rFonts w:ascii="Times New Roman" w:hAnsi="Times New Roman" w:cs="Times New Roman"/>
        </w:rPr>
        <w:t xml:space="preserve">respectively </w:t>
      </w:r>
      <w:r w:rsidRPr="001A2440">
        <w:rPr>
          <w:rFonts w:ascii="Times New Roman" w:hAnsi="Times New Roman" w:cs="Times New Roman"/>
        </w:rPr>
        <w:t>across the subjects covered by the test</w:t>
      </w:r>
      <w:r>
        <w:rPr>
          <w:rFonts w:ascii="Times New Roman" w:hAnsi="Times New Roman" w:cs="Times New Roman"/>
        </w:rPr>
        <w:t>.</w:t>
      </w:r>
      <w:r w:rsidRPr="001A2440">
        <w:rPr>
          <w:rFonts w:ascii="Times New Roman" w:hAnsi="Times New Roman" w:cs="Times New Roman"/>
        </w:rPr>
        <w:t xml:space="preserve">  O</w:t>
      </w:r>
      <w:r>
        <w:rPr>
          <w:rFonts w:ascii="Times New Roman" w:hAnsi="Times New Roman" w:cs="Times New Roman"/>
        </w:rPr>
        <w:t>verall, freshmen at EIU score 96</w:t>
      </w:r>
      <w:r w:rsidRPr="001A2440">
        <w:rPr>
          <w:rFonts w:ascii="Times New Roman" w:hAnsi="Times New Roman" w:cs="Times New Roman"/>
        </w:rPr>
        <w:t xml:space="preserve"> points below the national ave</w:t>
      </w:r>
      <w:r>
        <w:rPr>
          <w:rFonts w:ascii="Times New Roman" w:hAnsi="Times New Roman" w:cs="Times New Roman"/>
        </w:rPr>
        <w:t>rage (1032) and seniors score 93</w:t>
      </w:r>
      <w:r w:rsidRPr="001A2440">
        <w:rPr>
          <w:rFonts w:ascii="Times New Roman" w:hAnsi="Times New Roman" w:cs="Times New Roman"/>
        </w:rPr>
        <w:t xml:space="preserve"> points lower (1128).</w:t>
      </w:r>
      <w:r>
        <w:rPr>
          <w:rFonts w:ascii="Times New Roman" w:hAnsi="Times New Roman" w:cs="Times New Roman"/>
        </w:rPr>
        <w:t xml:space="preserve">  </w:t>
      </w:r>
    </w:p>
    <w:p w14:paraId="244FE565" w14:textId="77777777" w:rsidR="008C3405" w:rsidRPr="001A2440" w:rsidRDefault="008C3405" w:rsidP="008C3405">
      <w:pPr>
        <w:rPr>
          <w:rFonts w:ascii="Times New Roman" w:hAnsi="Times New Roman" w:cs="Times New Roman"/>
          <w:u w:val="single"/>
        </w:rPr>
      </w:pPr>
      <w:r w:rsidRPr="001A2440">
        <w:rPr>
          <w:rFonts w:ascii="Times New Roman" w:hAnsi="Times New Roman" w:cs="Times New Roman"/>
          <w:u w:val="single"/>
        </w:rPr>
        <w:t>CLA+ RESULTS – QUANTITATIVE REASONING</w:t>
      </w:r>
    </w:p>
    <w:p w14:paraId="28202836" w14:textId="77777777" w:rsidR="008C3405" w:rsidRPr="001A2440" w:rsidRDefault="008C3405" w:rsidP="00BC4356">
      <w:pPr>
        <w:spacing w:after="0"/>
        <w:rPr>
          <w:rFonts w:ascii="Times New Roman" w:hAnsi="Times New Roman" w:cs="Times New Roman"/>
        </w:rPr>
      </w:pPr>
      <w:r w:rsidRPr="001A2440">
        <w:rPr>
          <w:rFonts w:ascii="Times New Roman" w:hAnsi="Times New Roman" w:cs="Times New Roman"/>
        </w:rPr>
        <w:t>Supporting documents for the Scientific and Quantitative Reasoning set discuss real-life research results. To answer the ten questions in this section, students must:</w:t>
      </w:r>
    </w:p>
    <w:p w14:paraId="74B37542" w14:textId="77777777" w:rsidR="008C3405" w:rsidRPr="001A2440" w:rsidRDefault="008C3405" w:rsidP="008C3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2440">
        <w:rPr>
          <w:rFonts w:ascii="Times New Roman" w:hAnsi="Times New Roman" w:cs="Times New Roman"/>
        </w:rPr>
        <w:t>apply critical-thinking skills that include making inferences and hypotheses based on given results</w:t>
      </w:r>
    </w:p>
    <w:p w14:paraId="23A6566C" w14:textId="77777777" w:rsidR="008C3405" w:rsidRPr="001A2440" w:rsidRDefault="008C3405" w:rsidP="008C3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2440">
        <w:rPr>
          <w:rFonts w:ascii="Times New Roman" w:hAnsi="Times New Roman" w:cs="Times New Roman"/>
        </w:rPr>
        <w:t>evaluate the reliability of information (such as experimental design or data collection methodology)</w:t>
      </w:r>
    </w:p>
    <w:p w14:paraId="3F4E2103" w14:textId="77777777" w:rsidR="008C3405" w:rsidRPr="001A2440" w:rsidRDefault="008C3405" w:rsidP="008C3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2440">
        <w:rPr>
          <w:rFonts w:ascii="Times New Roman" w:hAnsi="Times New Roman" w:cs="Times New Roman"/>
        </w:rPr>
        <w:t>identify information or quantitative data that is connected and conflicting</w:t>
      </w:r>
    </w:p>
    <w:p w14:paraId="33553746" w14:textId="77777777" w:rsidR="008C3405" w:rsidRPr="001A2440" w:rsidRDefault="008C3405" w:rsidP="008C3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2440">
        <w:rPr>
          <w:rFonts w:ascii="Times New Roman" w:hAnsi="Times New Roman" w:cs="Times New Roman"/>
        </w:rPr>
        <w:t>detect questionable assumptions (such as implications of causation based on correlation)</w:t>
      </w:r>
    </w:p>
    <w:p w14:paraId="67364155" w14:textId="77777777" w:rsidR="008C3405" w:rsidRPr="001A2440" w:rsidRDefault="008C3405" w:rsidP="008C3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2440">
        <w:rPr>
          <w:rFonts w:ascii="Times New Roman" w:hAnsi="Times New Roman" w:cs="Times New Roman"/>
        </w:rPr>
        <w:t>support or refute a position, and draw a conclusion or decide on a course of action to solve a problem</w:t>
      </w:r>
    </w:p>
    <w:p w14:paraId="27754FF8" w14:textId="260CD9DD" w:rsidR="008C3405" w:rsidRDefault="008C3405" w:rsidP="008C3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2440">
        <w:rPr>
          <w:rFonts w:ascii="Times New Roman" w:hAnsi="Times New Roman" w:cs="Times New Roman"/>
        </w:rPr>
        <w:t>evaluate alternate conclusions, and recognize when a text has open issues that require additi</w:t>
      </w:r>
      <w:r w:rsidR="00BC4356">
        <w:rPr>
          <w:rFonts w:ascii="Times New Roman" w:hAnsi="Times New Roman" w:cs="Times New Roman"/>
        </w:rPr>
        <w:t>onal research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840"/>
        <w:gridCol w:w="2889"/>
      </w:tblGrid>
      <w:tr w:rsidR="008C3405" w:rsidRPr="00F975D7" w14:paraId="47E91AA3" w14:textId="77777777" w:rsidTr="00991B6A">
        <w:tc>
          <w:tcPr>
            <w:tcW w:w="8630" w:type="dxa"/>
            <w:gridSpan w:val="3"/>
            <w:shd w:val="clear" w:color="auto" w:fill="auto"/>
          </w:tcPr>
          <w:p w14:paraId="6C02F11F" w14:textId="77777777" w:rsidR="008C3405" w:rsidRPr="00F975D7" w:rsidRDefault="008C3405" w:rsidP="0099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Mean Score (and range from 25</w:t>
            </w: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</w:rPr>
              <w:t>-75</w:t>
            </w: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percentile)</w:t>
            </w:r>
          </w:p>
        </w:tc>
      </w:tr>
      <w:tr w:rsidR="008C3405" w:rsidRPr="00F975D7" w14:paraId="22E52BCA" w14:textId="77777777" w:rsidTr="00991B6A">
        <w:tc>
          <w:tcPr>
            <w:tcW w:w="2901" w:type="dxa"/>
            <w:shd w:val="clear" w:color="auto" w:fill="auto"/>
          </w:tcPr>
          <w:p w14:paraId="54AFBA1A" w14:textId="77777777" w:rsidR="008C3405" w:rsidRPr="00F975D7" w:rsidRDefault="008C3405" w:rsidP="0099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74835DF2" w14:textId="77777777" w:rsidR="008C3405" w:rsidRPr="00F975D7" w:rsidRDefault="008C3405" w:rsidP="0099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EIU</w:t>
            </w:r>
          </w:p>
        </w:tc>
        <w:tc>
          <w:tcPr>
            <w:tcW w:w="2889" w:type="dxa"/>
            <w:shd w:val="clear" w:color="auto" w:fill="auto"/>
          </w:tcPr>
          <w:p w14:paraId="6EB7F955" w14:textId="77777777" w:rsidR="008C3405" w:rsidRPr="00F975D7" w:rsidRDefault="008C3405" w:rsidP="0099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Average</w:t>
            </w:r>
          </w:p>
        </w:tc>
      </w:tr>
      <w:tr w:rsidR="008C3405" w:rsidRPr="00F975D7" w14:paraId="703E4A0C" w14:textId="77777777" w:rsidTr="00991B6A">
        <w:tc>
          <w:tcPr>
            <w:tcW w:w="2901" w:type="dxa"/>
            <w:shd w:val="clear" w:color="auto" w:fill="auto"/>
          </w:tcPr>
          <w:p w14:paraId="4CCDAC3D" w14:textId="77777777" w:rsidR="008C3405" w:rsidRPr="00F975D7" w:rsidRDefault="008C3405" w:rsidP="0099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</w:rPr>
              <w:t>Freshmen</w:t>
            </w:r>
          </w:p>
        </w:tc>
        <w:tc>
          <w:tcPr>
            <w:tcW w:w="2840" w:type="dxa"/>
            <w:shd w:val="clear" w:color="auto" w:fill="auto"/>
          </w:tcPr>
          <w:p w14:paraId="0955816C" w14:textId="77777777" w:rsidR="008C3405" w:rsidRPr="00F975D7" w:rsidRDefault="008C3405" w:rsidP="0099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97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(391-498</w:t>
            </w: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9" w:type="dxa"/>
            <w:shd w:val="clear" w:color="auto" w:fill="auto"/>
          </w:tcPr>
          <w:p w14:paraId="3052B6DF" w14:textId="77777777" w:rsidR="008C3405" w:rsidRPr="00F975D7" w:rsidRDefault="008C3405" w:rsidP="0099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</w:rPr>
              <w:t>499 (473-519)</w:t>
            </w:r>
          </w:p>
        </w:tc>
      </w:tr>
      <w:tr w:rsidR="008C3405" w:rsidRPr="00F975D7" w14:paraId="7198AB93" w14:textId="77777777" w:rsidTr="00991B6A">
        <w:tc>
          <w:tcPr>
            <w:tcW w:w="2901" w:type="dxa"/>
            <w:shd w:val="clear" w:color="auto" w:fill="auto"/>
          </w:tcPr>
          <w:p w14:paraId="20ABA1AD" w14:textId="77777777" w:rsidR="008C3405" w:rsidRPr="00F975D7" w:rsidRDefault="008C3405" w:rsidP="0099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</w:rPr>
              <w:t>Seniors</w:t>
            </w:r>
          </w:p>
        </w:tc>
        <w:tc>
          <w:tcPr>
            <w:tcW w:w="2840" w:type="dxa"/>
            <w:shd w:val="clear" w:color="auto" w:fill="auto"/>
          </w:tcPr>
          <w:p w14:paraId="7366324D" w14:textId="77777777" w:rsidR="008C3405" w:rsidRPr="00F975D7" w:rsidRDefault="008C3405" w:rsidP="0099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519</w:t>
            </w:r>
            <w:r w:rsidRPr="00F97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(453-597</w:t>
            </w: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9" w:type="dxa"/>
            <w:shd w:val="clear" w:color="auto" w:fill="auto"/>
          </w:tcPr>
          <w:p w14:paraId="32A4A69D" w14:textId="77777777" w:rsidR="008C3405" w:rsidRPr="00F975D7" w:rsidRDefault="008C3405" w:rsidP="0099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</w:rPr>
              <w:t>546 (524-567)</w:t>
            </w:r>
          </w:p>
        </w:tc>
      </w:tr>
      <w:tr w:rsidR="008C3405" w:rsidRPr="00F975D7" w14:paraId="513F031E" w14:textId="77777777" w:rsidTr="00991B6A">
        <w:tc>
          <w:tcPr>
            <w:tcW w:w="2901" w:type="dxa"/>
            <w:shd w:val="clear" w:color="auto" w:fill="auto"/>
          </w:tcPr>
          <w:p w14:paraId="08FB1EBE" w14:textId="77777777" w:rsidR="008C3405" w:rsidRPr="00F975D7" w:rsidRDefault="008C3405" w:rsidP="0099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</w:rPr>
              <w:t>Mean Gain</w:t>
            </w:r>
          </w:p>
        </w:tc>
        <w:tc>
          <w:tcPr>
            <w:tcW w:w="2840" w:type="dxa"/>
            <w:shd w:val="clear" w:color="auto" w:fill="auto"/>
          </w:tcPr>
          <w:p w14:paraId="24D707B6" w14:textId="77777777" w:rsidR="008C3405" w:rsidRPr="00F975D7" w:rsidRDefault="008C3405" w:rsidP="0099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889" w:type="dxa"/>
            <w:shd w:val="clear" w:color="auto" w:fill="auto"/>
          </w:tcPr>
          <w:p w14:paraId="684F9CCB" w14:textId="77777777" w:rsidR="008C3405" w:rsidRPr="00F975D7" w:rsidRDefault="008C3405" w:rsidP="0099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47</w:t>
            </w:r>
          </w:p>
        </w:tc>
      </w:tr>
    </w:tbl>
    <w:p w14:paraId="79677AE6" w14:textId="77777777" w:rsidR="008C3405" w:rsidRPr="00BC4356" w:rsidRDefault="008C3405" w:rsidP="008C3405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2809B1A1" w14:textId="77777777" w:rsidR="00BC4356" w:rsidRDefault="008C3405" w:rsidP="00BC43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Whereas 45% of EIU freshmen reported putting “no effort at all” or “a little effort” into answering the selected response  questions, only 16% of  freshman across CLA+ institutions reported similar results.  In addition, 26% of EIU seniors</w:t>
      </w:r>
      <w:r w:rsidRPr="00F975D7">
        <w:rPr>
          <w:rFonts w:ascii="Times New Roman" w:hAnsi="Times New Roman" w:cs="Times New Roman"/>
        </w:rPr>
        <w:t xml:space="preserve"> reported putting “no effort at all” or “a little effort” into a</w:t>
      </w:r>
      <w:r>
        <w:rPr>
          <w:rFonts w:ascii="Times New Roman" w:hAnsi="Times New Roman" w:cs="Times New Roman"/>
        </w:rPr>
        <w:t>nswering the selected response questions, only 13% of seniors</w:t>
      </w:r>
      <w:r w:rsidRPr="00F975D7">
        <w:rPr>
          <w:rFonts w:ascii="Times New Roman" w:hAnsi="Times New Roman" w:cs="Times New Roman"/>
        </w:rPr>
        <w:t xml:space="preserve"> across CLA+ institutions reported similar results. </w:t>
      </w:r>
    </w:p>
    <w:p w14:paraId="11E2C411" w14:textId="175EB9C6" w:rsidR="008C3405" w:rsidRPr="002E3140" w:rsidRDefault="008C3405" w:rsidP="00BC4356">
      <w:pPr>
        <w:spacing w:after="0"/>
        <w:rPr>
          <w:rFonts w:ascii="Times New Roman" w:hAnsi="Times New Roman" w:cs="Times New Roman"/>
        </w:rPr>
      </w:pPr>
      <w:r w:rsidRPr="00F975D7">
        <w:rPr>
          <w:rFonts w:ascii="Times New Roman" w:hAnsi="Times New Roman" w:cs="Times New Roman"/>
        </w:rPr>
        <w:t xml:space="preserve"> </w:t>
      </w:r>
    </w:p>
    <w:p w14:paraId="13D4D6E0" w14:textId="533A11AE" w:rsidR="00782293" w:rsidRDefault="008C3405" w:rsidP="007860C8">
      <w:pPr>
        <w:spacing w:after="0"/>
        <w:rPr>
          <w:rFonts w:ascii="Times New Roman" w:hAnsi="Times New Roman" w:cs="Times New Roman"/>
          <w:b/>
        </w:rPr>
      </w:pPr>
      <w:r w:rsidRPr="001A2440">
        <w:rPr>
          <w:rFonts w:ascii="Times New Roman" w:hAnsi="Times New Roman" w:cs="Times New Roman"/>
          <w:u w:val="single"/>
        </w:rPr>
        <w:t>Interpretation:</w:t>
      </w:r>
      <w:r w:rsidRPr="001A2440">
        <w:rPr>
          <w:rFonts w:ascii="Times New Roman" w:hAnsi="Times New Roman" w:cs="Times New Roman"/>
        </w:rPr>
        <w:t xml:space="preserve">  Although mean sco</w:t>
      </w:r>
      <w:r>
        <w:rPr>
          <w:rFonts w:ascii="Times New Roman" w:hAnsi="Times New Roman" w:cs="Times New Roman"/>
        </w:rPr>
        <w:t>res for EIU freshmen are lower than</w:t>
      </w:r>
      <w:r w:rsidRPr="001A2440">
        <w:rPr>
          <w:rFonts w:ascii="Times New Roman" w:hAnsi="Times New Roman" w:cs="Times New Roman"/>
        </w:rPr>
        <w:t xml:space="preserve"> the National Ave</w:t>
      </w:r>
      <w:r>
        <w:rPr>
          <w:rFonts w:ascii="Times New Roman" w:hAnsi="Times New Roman" w:cs="Times New Roman"/>
        </w:rPr>
        <w:t>rage for freshmen, there is a much larger</w:t>
      </w:r>
      <w:r w:rsidRPr="001A2440">
        <w:rPr>
          <w:rFonts w:ascii="Times New Roman" w:hAnsi="Times New Roman" w:cs="Times New Roman"/>
        </w:rPr>
        <w:t xml:space="preserve"> gain </w:t>
      </w:r>
      <w:r>
        <w:rPr>
          <w:rFonts w:ascii="Times New Roman" w:hAnsi="Times New Roman" w:cs="Times New Roman"/>
        </w:rPr>
        <w:t xml:space="preserve">of 87 </w:t>
      </w:r>
      <w:r w:rsidRPr="001A2440">
        <w:rPr>
          <w:rFonts w:ascii="Times New Roman" w:hAnsi="Times New Roman" w:cs="Times New Roman"/>
        </w:rPr>
        <w:t>made by EIU seniors</w:t>
      </w:r>
      <w:r>
        <w:rPr>
          <w:rFonts w:ascii="Times New Roman" w:hAnsi="Times New Roman" w:cs="Times New Roman"/>
        </w:rPr>
        <w:t xml:space="preserve"> than the National Average gain of 47</w:t>
      </w:r>
      <w:r w:rsidRPr="001A2440">
        <w:rPr>
          <w:rFonts w:ascii="Times New Roman" w:hAnsi="Times New Roman" w:cs="Times New Roman"/>
        </w:rPr>
        <w:t xml:space="preserve">.  Results </w:t>
      </w:r>
      <w:r>
        <w:rPr>
          <w:rFonts w:ascii="Times New Roman" w:hAnsi="Times New Roman" w:cs="Times New Roman"/>
        </w:rPr>
        <w:t>indicate</w:t>
      </w:r>
      <w:r w:rsidRPr="001A2440">
        <w:rPr>
          <w:rFonts w:ascii="Times New Roman" w:hAnsi="Times New Roman" w:cs="Times New Roman"/>
        </w:rPr>
        <w:t xml:space="preserve"> th</w:t>
      </w:r>
      <w:r>
        <w:rPr>
          <w:rFonts w:ascii="Times New Roman" w:hAnsi="Times New Roman" w:cs="Times New Roman"/>
        </w:rPr>
        <w:t>at EIU students show significant</w:t>
      </w:r>
      <w:r w:rsidRPr="001A2440">
        <w:rPr>
          <w:rFonts w:ascii="Times New Roman" w:hAnsi="Times New Roman" w:cs="Times New Roman"/>
        </w:rPr>
        <w:t xml:space="preserve"> improvement in Quantitative Reasoning during their time on campus, but </w:t>
      </w:r>
      <w:r>
        <w:rPr>
          <w:rFonts w:ascii="Times New Roman" w:hAnsi="Times New Roman" w:cs="Times New Roman"/>
        </w:rPr>
        <w:t xml:space="preserve">even so </w:t>
      </w:r>
      <w:r w:rsidRPr="001A2440">
        <w:rPr>
          <w:rFonts w:ascii="Times New Roman" w:hAnsi="Times New Roman" w:cs="Times New Roman"/>
        </w:rPr>
        <w:t>EIU seniors graduate with significantly less skill in this a</w:t>
      </w:r>
      <w:r>
        <w:rPr>
          <w:rFonts w:ascii="Times New Roman" w:hAnsi="Times New Roman" w:cs="Times New Roman"/>
        </w:rPr>
        <w:t xml:space="preserve">rea than the national average. </w:t>
      </w:r>
      <w:r w:rsidRPr="001A2440">
        <w:rPr>
          <w:rFonts w:ascii="Times New Roman" w:hAnsi="Times New Roman" w:cs="Times New Roman"/>
          <w:b/>
        </w:rPr>
        <w:t xml:space="preserve">Put in a different way, </w:t>
      </w:r>
      <w:r>
        <w:rPr>
          <w:rFonts w:ascii="Times New Roman" w:hAnsi="Times New Roman" w:cs="Times New Roman"/>
          <w:b/>
        </w:rPr>
        <w:t xml:space="preserve">although </w:t>
      </w:r>
      <w:r w:rsidRPr="001A2440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IU seniors graduate with less skill in Quantitative Reasoning tasks compared to </w:t>
      </w:r>
      <w:r w:rsidRPr="001A2440">
        <w:rPr>
          <w:rFonts w:ascii="Times New Roman" w:hAnsi="Times New Roman" w:cs="Times New Roman"/>
          <w:b/>
        </w:rPr>
        <w:t>the national average</w:t>
      </w:r>
      <w:r>
        <w:rPr>
          <w:rFonts w:ascii="Times New Roman" w:hAnsi="Times New Roman" w:cs="Times New Roman"/>
          <w:b/>
        </w:rPr>
        <w:t>,</w:t>
      </w:r>
      <w:r w:rsidRPr="001A24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they gained more skill in this area than seniors a</w:t>
      </w:r>
      <w:r w:rsidRPr="001A2440">
        <w:rPr>
          <w:rFonts w:ascii="Times New Roman" w:hAnsi="Times New Roman" w:cs="Times New Roman"/>
          <w:b/>
        </w:rPr>
        <w:t>t other institutions.</w:t>
      </w:r>
    </w:p>
    <w:p w14:paraId="75C52104" w14:textId="77777777" w:rsidR="007860C8" w:rsidRPr="00782293" w:rsidRDefault="007860C8" w:rsidP="007860C8">
      <w:pPr>
        <w:spacing w:after="0"/>
        <w:rPr>
          <w:rFonts w:ascii="Times New Roman" w:hAnsi="Times New Roman" w:cs="Times New Roman"/>
        </w:rPr>
      </w:pPr>
    </w:p>
    <w:p w14:paraId="75CF4CCE" w14:textId="225B91C4" w:rsidR="00FF0FD8" w:rsidRPr="001A2440" w:rsidRDefault="00FF0FD8">
      <w:pPr>
        <w:rPr>
          <w:rFonts w:ascii="Times New Roman" w:hAnsi="Times New Roman" w:cs="Times New Roman"/>
          <w:u w:val="single"/>
        </w:rPr>
      </w:pPr>
      <w:r w:rsidRPr="001A2440">
        <w:rPr>
          <w:rFonts w:ascii="Times New Roman" w:hAnsi="Times New Roman" w:cs="Times New Roman"/>
          <w:u w:val="single"/>
        </w:rPr>
        <w:t>QUANTITATIVE REASONING</w:t>
      </w:r>
      <w:r w:rsidR="00766958">
        <w:rPr>
          <w:rFonts w:ascii="Times New Roman" w:hAnsi="Times New Roman" w:cs="Times New Roman"/>
          <w:u w:val="single"/>
        </w:rPr>
        <w:t xml:space="preserve"> SURVEY RESULTS</w:t>
      </w:r>
    </w:p>
    <w:p w14:paraId="04718572" w14:textId="6D7E6C23" w:rsidR="00561111" w:rsidRDefault="00786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Thirty-one departments responded to </w:t>
      </w:r>
      <w:r w:rsidR="00411820">
        <w:rPr>
          <w:rFonts w:ascii="Times New Roman" w:hAnsi="Times New Roman" w:cs="Times New Roman"/>
        </w:rPr>
        <w:t>CASL’s</w:t>
      </w:r>
      <w:r>
        <w:rPr>
          <w:rFonts w:ascii="Times New Roman" w:hAnsi="Times New Roman" w:cs="Times New Roman"/>
        </w:rPr>
        <w:t xml:space="preserve"> </w:t>
      </w:r>
      <w:r w:rsidR="00411820">
        <w:rPr>
          <w:rFonts w:ascii="Times New Roman" w:hAnsi="Times New Roman" w:cs="Times New Roman"/>
        </w:rPr>
        <w:t>QR Survey</w:t>
      </w:r>
      <w:r>
        <w:rPr>
          <w:rFonts w:ascii="Times New Roman" w:hAnsi="Times New Roman" w:cs="Times New Roman"/>
        </w:rPr>
        <w:t xml:space="preserve"> conducted in </w:t>
      </w:r>
      <w:proofErr w:type="gramStart"/>
      <w:r>
        <w:rPr>
          <w:rFonts w:ascii="Times New Roman" w:hAnsi="Times New Roman" w:cs="Times New Roman"/>
        </w:rPr>
        <w:t>Spring</w:t>
      </w:r>
      <w:proofErr w:type="gramEnd"/>
      <w:r>
        <w:rPr>
          <w:rFonts w:ascii="Times New Roman" w:hAnsi="Times New Roman" w:cs="Times New Roman"/>
        </w:rPr>
        <w:t xml:space="preserve"> 2018.  The r</w:t>
      </w:r>
      <w:r w:rsidR="00411820">
        <w:rPr>
          <w:rFonts w:ascii="Times New Roman" w:hAnsi="Times New Roman" w:cs="Times New Roman"/>
        </w:rPr>
        <w:t xml:space="preserve">esults </w:t>
      </w:r>
      <w:r w:rsidR="008F079D">
        <w:rPr>
          <w:rFonts w:ascii="Times New Roman" w:hAnsi="Times New Roman" w:cs="Times New Roman"/>
        </w:rPr>
        <w:t xml:space="preserve">show that most </w:t>
      </w:r>
      <w:r w:rsidR="00625984">
        <w:rPr>
          <w:rFonts w:ascii="Times New Roman" w:hAnsi="Times New Roman" w:cs="Times New Roman"/>
        </w:rPr>
        <w:t>d</w:t>
      </w:r>
      <w:r w:rsidR="00D70300" w:rsidRPr="001A2440">
        <w:rPr>
          <w:rFonts w:ascii="Times New Roman" w:hAnsi="Times New Roman" w:cs="Times New Roman"/>
        </w:rPr>
        <w:t xml:space="preserve">epartments on campus </w:t>
      </w:r>
      <w:r w:rsidR="00561111">
        <w:rPr>
          <w:rFonts w:ascii="Times New Roman" w:hAnsi="Times New Roman" w:cs="Times New Roman"/>
        </w:rPr>
        <w:t xml:space="preserve">both </w:t>
      </w:r>
      <w:r w:rsidR="00625984">
        <w:rPr>
          <w:rFonts w:ascii="Times New Roman" w:hAnsi="Times New Roman" w:cs="Times New Roman"/>
        </w:rPr>
        <w:t xml:space="preserve">explicitly taught and assessed </w:t>
      </w:r>
      <w:r w:rsidR="00561111">
        <w:rPr>
          <w:rFonts w:ascii="Times New Roman" w:hAnsi="Times New Roman" w:cs="Times New Roman"/>
        </w:rPr>
        <w:t xml:space="preserve">the QR learning objectives </w:t>
      </w:r>
      <w:r w:rsidR="00561111" w:rsidRPr="00561111">
        <w:rPr>
          <w:rFonts w:ascii="Times New Roman" w:hAnsi="Times New Roman" w:cs="Times New Roman"/>
        </w:rPr>
        <w:t>either frequently or occasionally in t</w:t>
      </w:r>
      <w:r w:rsidR="00561111">
        <w:rPr>
          <w:rFonts w:ascii="Times New Roman" w:hAnsi="Times New Roman" w:cs="Times New Roman"/>
        </w:rPr>
        <w:t xml:space="preserve">he undergraduate courses in their </w:t>
      </w:r>
      <w:r w:rsidR="00561111" w:rsidRPr="00561111">
        <w:rPr>
          <w:rFonts w:ascii="Times New Roman" w:hAnsi="Times New Roman" w:cs="Times New Roman"/>
        </w:rPr>
        <w:t xml:space="preserve">department </w:t>
      </w:r>
      <w:r w:rsidR="00561111">
        <w:rPr>
          <w:rFonts w:ascii="Times New Roman" w:hAnsi="Times New Roman" w:cs="Times New Roman"/>
        </w:rPr>
        <w:t xml:space="preserve">as shown in the following table.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33"/>
        <w:gridCol w:w="1620"/>
        <w:gridCol w:w="1620"/>
        <w:gridCol w:w="1530"/>
        <w:gridCol w:w="1188"/>
      </w:tblGrid>
      <w:tr w:rsidR="00561111" w:rsidRPr="00561111" w14:paraId="408D907B" w14:textId="77777777" w:rsidTr="007860C8">
        <w:trPr>
          <w:trHeight w:hRule="exact" w:val="864"/>
          <w:jc w:val="center"/>
        </w:trPr>
        <w:tc>
          <w:tcPr>
            <w:tcW w:w="4433" w:type="dxa"/>
          </w:tcPr>
          <w:p w14:paraId="78DEB97A" w14:textId="77777777" w:rsidR="00561111" w:rsidRPr="00766958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766958">
              <w:rPr>
                <w:rFonts w:ascii="Times New Roman" w:hAnsi="Times New Roman" w:cs="Times New Roman"/>
                <w:color w:val="FF0000"/>
              </w:rPr>
              <w:t>Explicitly Taught</w:t>
            </w:r>
          </w:p>
          <w:p w14:paraId="42251823" w14:textId="19348F7B" w:rsidR="00561111" w:rsidRPr="00766958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7030A0"/>
              </w:rPr>
            </w:pPr>
            <w:r w:rsidRPr="00766958">
              <w:rPr>
                <w:rFonts w:ascii="Times New Roman" w:hAnsi="Times New Roman" w:cs="Times New Roman"/>
                <w:color w:val="7030A0"/>
              </w:rPr>
              <w:t>Assessed</w:t>
            </w:r>
          </w:p>
        </w:tc>
        <w:tc>
          <w:tcPr>
            <w:tcW w:w="1620" w:type="dxa"/>
          </w:tcPr>
          <w:p w14:paraId="241BD8A6" w14:textId="77777777" w:rsidR="00561111" w:rsidRP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61111">
              <w:rPr>
                <w:rFonts w:ascii="Times New Roman" w:hAnsi="Times New Roman" w:cs="Times New Roman"/>
                <w:b/>
              </w:rPr>
              <w:t>Frequently</w:t>
            </w:r>
          </w:p>
        </w:tc>
        <w:tc>
          <w:tcPr>
            <w:tcW w:w="1620" w:type="dxa"/>
          </w:tcPr>
          <w:p w14:paraId="5B531B4A" w14:textId="77777777" w:rsidR="00561111" w:rsidRP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61111">
              <w:rPr>
                <w:rFonts w:ascii="Times New Roman" w:hAnsi="Times New Roman" w:cs="Times New Roman"/>
                <w:b/>
              </w:rPr>
              <w:t>Occasionally</w:t>
            </w:r>
          </w:p>
        </w:tc>
        <w:tc>
          <w:tcPr>
            <w:tcW w:w="1530" w:type="dxa"/>
          </w:tcPr>
          <w:p w14:paraId="1E4ACE8F" w14:textId="77777777" w:rsidR="00561111" w:rsidRP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61111">
              <w:rPr>
                <w:rFonts w:ascii="Times New Roman" w:hAnsi="Times New Roman" w:cs="Times New Roman"/>
                <w:b/>
              </w:rPr>
              <w:t>Rarely</w:t>
            </w:r>
          </w:p>
        </w:tc>
        <w:tc>
          <w:tcPr>
            <w:tcW w:w="1188" w:type="dxa"/>
          </w:tcPr>
          <w:p w14:paraId="36E31446" w14:textId="77777777" w:rsidR="00561111" w:rsidRP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61111">
              <w:rPr>
                <w:rFonts w:ascii="Times New Roman" w:hAnsi="Times New Roman" w:cs="Times New Roman"/>
                <w:b/>
              </w:rPr>
              <w:t>Never</w:t>
            </w:r>
          </w:p>
        </w:tc>
      </w:tr>
      <w:tr w:rsidR="00561111" w:rsidRPr="00561111" w14:paraId="72FC2BBD" w14:textId="77777777" w:rsidTr="007860C8">
        <w:trPr>
          <w:trHeight w:hRule="exact" w:val="864"/>
          <w:jc w:val="center"/>
        </w:trPr>
        <w:tc>
          <w:tcPr>
            <w:tcW w:w="4433" w:type="dxa"/>
          </w:tcPr>
          <w:p w14:paraId="11EC8A5D" w14:textId="77777777" w:rsidR="00561111" w:rsidRP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1111">
              <w:rPr>
                <w:rFonts w:ascii="Times New Roman" w:hAnsi="Times New Roman" w:cs="Times New Roman"/>
              </w:rPr>
              <w:t>Perform basic calculations &amp; measurements</w:t>
            </w:r>
          </w:p>
        </w:tc>
        <w:tc>
          <w:tcPr>
            <w:tcW w:w="1620" w:type="dxa"/>
          </w:tcPr>
          <w:p w14:paraId="44BD01EA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15—48%</w:t>
            </w:r>
          </w:p>
          <w:p w14:paraId="3A84D6CB" w14:textId="6E29AE4C" w:rsidR="00DC64E0" w:rsidRPr="00DC64E0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8—26%</w:t>
            </w:r>
          </w:p>
        </w:tc>
        <w:tc>
          <w:tcPr>
            <w:tcW w:w="1620" w:type="dxa"/>
          </w:tcPr>
          <w:p w14:paraId="3FBE1348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10—32%</w:t>
            </w:r>
          </w:p>
          <w:p w14:paraId="15310EC1" w14:textId="7BD83A3B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11—35%</w:t>
            </w:r>
          </w:p>
        </w:tc>
        <w:tc>
          <w:tcPr>
            <w:tcW w:w="1530" w:type="dxa"/>
          </w:tcPr>
          <w:p w14:paraId="314BEB58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5—16%</w:t>
            </w:r>
          </w:p>
          <w:p w14:paraId="160FAFE6" w14:textId="6AE10B1C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5—16%</w:t>
            </w:r>
          </w:p>
        </w:tc>
        <w:tc>
          <w:tcPr>
            <w:tcW w:w="1188" w:type="dxa"/>
          </w:tcPr>
          <w:p w14:paraId="5F252467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1—3%</w:t>
            </w:r>
          </w:p>
          <w:p w14:paraId="72DBBD5A" w14:textId="77ECC3AA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5—16%</w:t>
            </w:r>
          </w:p>
        </w:tc>
      </w:tr>
      <w:tr w:rsidR="00561111" w:rsidRPr="00561111" w14:paraId="0D154208" w14:textId="77777777" w:rsidTr="007860C8">
        <w:trPr>
          <w:trHeight w:hRule="exact" w:val="864"/>
          <w:jc w:val="center"/>
        </w:trPr>
        <w:tc>
          <w:tcPr>
            <w:tcW w:w="4433" w:type="dxa"/>
          </w:tcPr>
          <w:p w14:paraId="4F26F037" w14:textId="77777777" w:rsidR="00561111" w:rsidRP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1111">
              <w:rPr>
                <w:rFonts w:ascii="Times New Roman" w:hAnsi="Times New Roman" w:cs="Times New Roman"/>
              </w:rPr>
              <w:t>Apply quantitative methods and use resulting evidence to solve problems</w:t>
            </w:r>
          </w:p>
        </w:tc>
        <w:tc>
          <w:tcPr>
            <w:tcW w:w="1620" w:type="dxa"/>
          </w:tcPr>
          <w:p w14:paraId="56CAE027" w14:textId="1158BB7B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15—48%</w:t>
            </w:r>
          </w:p>
          <w:p w14:paraId="23DA3FE1" w14:textId="0228F516" w:rsidR="00DC64E0" w:rsidRPr="00DC64E0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7030A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10—32%</w:t>
            </w:r>
          </w:p>
        </w:tc>
        <w:tc>
          <w:tcPr>
            <w:tcW w:w="1620" w:type="dxa"/>
          </w:tcPr>
          <w:p w14:paraId="02926F0E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11—35%</w:t>
            </w:r>
          </w:p>
          <w:p w14:paraId="06D162AC" w14:textId="46BB2209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11—35%</w:t>
            </w:r>
          </w:p>
        </w:tc>
        <w:tc>
          <w:tcPr>
            <w:tcW w:w="1530" w:type="dxa"/>
          </w:tcPr>
          <w:p w14:paraId="3B8BCABF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4—13%</w:t>
            </w:r>
          </w:p>
          <w:p w14:paraId="29C32259" w14:textId="18AEF3EA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6—19%</w:t>
            </w:r>
          </w:p>
        </w:tc>
        <w:tc>
          <w:tcPr>
            <w:tcW w:w="1188" w:type="dxa"/>
          </w:tcPr>
          <w:p w14:paraId="031A7D1F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1—3%</w:t>
            </w:r>
          </w:p>
          <w:p w14:paraId="3E097D35" w14:textId="01ACAB6B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3—10%</w:t>
            </w:r>
          </w:p>
        </w:tc>
      </w:tr>
      <w:tr w:rsidR="00561111" w:rsidRPr="00561111" w14:paraId="4AC43B51" w14:textId="77777777" w:rsidTr="007860C8">
        <w:trPr>
          <w:trHeight w:hRule="exact" w:val="864"/>
          <w:jc w:val="center"/>
        </w:trPr>
        <w:tc>
          <w:tcPr>
            <w:tcW w:w="4433" w:type="dxa"/>
          </w:tcPr>
          <w:p w14:paraId="0392F657" w14:textId="77777777" w:rsidR="00561111" w:rsidRP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1111">
              <w:rPr>
                <w:rFonts w:ascii="Times New Roman" w:hAnsi="Times New Roman" w:cs="Times New Roman"/>
              </w:rPr>
              <w:t>Reading, interpreting, and constructing tables, graphs, charts, and other representations of quantitative material</w:t>
            </w:r>
          </w:p>
        </w:tc>
        <w:tc>
          <w:tcPr>
            <w:tcW w:w="1620" w:type="dxa"/>
          </w:tcPr>
          <w:p w14:paraId="4A2C8D57" w14:textId="77777777" w:rsidR="00DC64E0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14—45%</w:t>
            </w:r>
          </w:p>
          <w:p w14:paraId="38011B62" w14:textId="2C133B78" w:rsidR="00DC64E0" w:rsidRPr="00766958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7030A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11—35%</w:t>
            </w:r>
          </w:p>
        </w:tc>
        <w:tc>
          <w:tcPr>
            <w:tcW w:w="1620" w:type="dxa"/>
          </w:tcPr>
          <w:p w14:paraId="49525223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13—42%</w:t>
            </w:r>
          </w:p>
          <w:p w14:paraId="1D8445C9" w14:textId="7625E938" w:rsidR="00DC64E0" w:rsidRPr="00DC64E0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12—39%</w:t>
            </w:r>
          </w:p>
        </w:tc>
        <w:tc>
          <w:tcPr>
            <w:tcW w:w="1530" w:type="dxa"/>
          </w:tcPr>
          <w:p w14:paraId="2CF87AE8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4—13%</w:t>
            </w:r>
          </w:p>
          <w:p w14:paraId="7675F8EC" w14:textId="538FDEE3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5—16%</w:t>
            </w:r>
          </w:p>
        </w:tc>
        <w:tc>
          <w:tcPr>
            <w:tcW w:w="1188" w:type="dxa"/>
          </w:tcPr>
          <w:p w14:paraId="29D8FD12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0</w:t>
            </w:r>
          </w:p>
          <w:p w14:paraId="26DB6BD3" w14:textId="04717083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2—6%</w:t>
            </w:r>
          </w:p>
        </w:tc>
      </w:tr>
      <w:tr w:rsidR="00561111" w:rsidRPr="00561111" w14:paraId="1611B9A1" w14:textId="77777777" w:rsidTr="007860C8">
        <w:trPr>
          <w:trHeight w:hRule="exact" w:val="864"/>
          <w:jc w:val="center"/>
        </w:trPr>
        <w:tc>
          <w:tcPr>
            <w:tcW w:w="4433" w:type="dxa"/>
          </w:tcPr>
          <w:p w14:paraId="65247F12" w14:textId="77777777" w:rsidR="00561111" w:rsidRP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1111">
              <w:rPr>
                <w:rFonts w:ascii="Times New Roman" w:hAnsi="Times New Roman" w:cs="Times New Roman"/>
              </w:rPr>
              <w:t>Critically evaluating quantitative methodologies and data</w:t>
            </w:r>
          </w:p>
        </w:tc>
        <w:tc>
          <w:tcPr>
            <w:tcW w:w="1620" w:type="dxa"/>
          </w:tcPr>
          <w:p w14:paraId="3746E413" w14:textId="768BB1AF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13—42%</w:t>
            </w:r>
          </w:p>
          <w:p w14:paraId="442BBDEA" w14:textId="38B523BC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7030A0"/>
              </w:rPr>
              <w:t>7</w:t>
            </w:r>
            <w:r w:rsidRPr="00DC64E0">
              <w:rPr>
                <w:rFonts w:ascii="Times New Roman" w:hAnsi="Times New Roman" w:cs="Times New Roman"/>
                <w:color w:val="7030A0"/>
              </w:rPr>
              <w:t>—35%</w:t>
            </w:r>
          </w:p>
        </w:tc>
        <w:tc>
          <w:tcPr>
            <w:tcW w:w="1620" w:type="dxa"/>
          </w:tcPr>
          <w:p w14:paraId="3BDAE73E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11—35%</w:t>
            </w:r>
          </w:p>
          <w:p w14:paraId="5D2194D2" w14:textId="2D1286CE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12—39%</w:t>
            </w:r>
          </w:p>
        </w:tc>
        <w:tc>
          <w:tcPr>
            <w:tcW w:w="1530" w:type="dxa"/>
          </w:tcPr>
          <w:p w14:paraId="457DDD8A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5—16%</w:t>
            </w:r>
          </w:p>
          <w:p w14:paraId="6C571BD2" w14:textId="3946B11C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7—23%</w:t>
            </w:r>
          </w:p>
        </w:tc>
        <w:tc>
          <w:tcPr>
            <w:tcW w:w="1188" w:type="dxa"/>
          </w:tcPr>
          <w:p w14:paraId="0C3B8D97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2—6%</w:t>
            </w:r>
          </w:p>
          <w:p w14:paraId="64D337D4" w14:textId="6F81092E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3—10%</w:t>
            </w:r>
          </w:p>
        </w:tc>
      </w:tr>
      <w:tr w:rsidR="00561111" w:rsidRPr="00561111" w14:paraId="6A52C8C4" w14:textId="77777777" w:rsidTr="007860C8">
        <w:trPr>
          <w:trHeight w:hRule="exact" w:val="864"/>
          <w:jc w:val="center"/>
        </w:trPr>
        <w:tc>
          <w:tcPr>
            <w:tcW w:w="4433" w:type="dxa"/>
          </w:tcPr>
          <w:p w14:paraId="410B0166" w14:textId="77777777" w:rsidR="00561111" w:rsidRP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1111">
              <w:rPr>
                <w:rFonts w:ascii="Times New Roman" w:hAnsi="Times New Roman" w:cs="Times New Roman"/>
              </w:rPr>
              <w:t>Constructing cogent arguments utilizing quantitative material</w:t>
            </w:r>
          </w:p>
        </w:tc>
        <w:tc>
          <w:tcPr>
            <w:tcW w:w="1620" w:type="dxa"/>
          </w:tcPr>
          <w:p w14:paraId="1B09F26F" w14:textId="1A464F65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13—42%</w:t>
            </w:r>
          </w:p>
          <w:p w14:paraId="5E416A76" w14:textId="57FC7182" w:rsidR="00DC64E0" w:rsidRPr="00766958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9</w:t>
            </w:r>
            <w:r w:rsidRPr="00DC64E0">
              <w:rPr>
                <w:rFonts w:ascii="Times New Roman" w:hAnsi="Times New Roman" w:cs="Times New Roman"/>
                <w:color w:val="7030A0"/>
              </w:rPr>
              <w:t>—23%</w:t>
            </w:r>
          </w:p>
        </w:tc>
        <w:tc>
          <w:tcPr>
            <w:tcW w:w="1620" w:type="dxa"/>
          </w:tcPr>
          <w:p w14:paraId="7DF99BCC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11—35%</w:t>
            </w:r>
          </w:p>
          <w:p w14:paraId="0E9E2ADB" w14:textId="169194B3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7030A0"/>
              </w:rPr>
              <w:t>11</w:t>
            </w:r>
            <w:r w:rsidRPr="00DC64E0">
              <w:rPr>
                <w:rFonts w:ascii="Times New Roman" w:hAnsi="Times New Roman" w:cs="Times New Roman"/>
                <w:color w:val="7030A0"/>
              </w:rPr>
              <w:t>—39%</w:t>
            </w:r>
          </w:p>
        </w:tc>
        <w:tc>
          <w:tcPr>
            <w:tcW w:w="1530" w:type="dxa"/>
          </w:tcPr>
          <w:p w14:paraId="64DEBBF1" w14:textId="2BD8B35A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5—16%</w:t>
            </w:r>
          </w:p>
          <w:p w14:paraId="4FDD0915" w14:textId="633C0430" w:rsidR="00561111" w:rsidRPr="00766958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7030A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5—16%</w:t>
            </w:r>
          </w:p>
        </w:tc>
        <w:tc>
          <w:tcPr>
            <w:tcW w:w="1188" w:type="dxa"/>
          </w:tcPr>
          <w:p w14:paraId="4BA18E41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2—6%</w:t>
            </w:r>
          </w:p>
          <w:p w14:paraId="6DB2401F" w14:textId="0FDB33E6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DC64E0">
              <w:rPr>
                <w:rFonts w:ascii="Times New Roman" w:hAnsi="Times New Roman" w:cs="Times New Roman"/>
                <w:color w:val="7030A0"/>
              </w:rPr>
              <w:t>5—16%</w:t>
            </w:r>
          </w:p>
        </w:tc>
      </w:tr>
      <w:tr w:rsidR="00561111" w:rsidRPr="00561111" w14:paraId="4F23A5C9" w14:textId="77777777" w:rsidTr="007860C8">
        <w:trPr>
          <w:trHeight w:hRule="exact" w:val="864"/>
          <w:jc w:val="center"/>
        </w:trPr>
        <w:tc>
          <w:tcPr>
            <w:tcW w:w="4433" w:type="dxa"/>
          </w:tcPr>
          <w:p w14:paraId="04ECE970" w14:textId="77777777" w:rsidR="00561111" w:rsidRP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61111">
              <w:rPr>
                <w:rFonts w:ascii="Times New Roman" w:hAnsi="Times New Roman" w:cs="Times New Roman"/>
              </w:rPr>
              <w:t>Using appropriate technology to collect, analyze, and produce quantitative materials</w:t>
            </w:r>
          </w:p>
        </w:tc>
        <w:tc>
          <w:tcPr>
            <w:tcW w:w="1620" w:type="dxa"/>
          </w:tcPr>
          <w:p w14:paraId="7203F4F5" w14:textId="19FA5A05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12—39%</w:t>
            </w:r>
          </w:p>
          <w:p w14:paraId="0FC42630" w14:textId="2416CA4C" w:rsidR="00DC64E0" w:rsidRPr="00766958" w:rsidRDefault="00766958" w:rsidP="00561111">
            <w:pPr>
              <w:spacing w:after="160" w:line="259" w:lineRule="auto"/>
              <w:rPr>
                <w:rFonts w:ascii="Times New Roman" w:hAnsi="Times New Roman" w:cs="Times New Roman"/>
                <w:color w:val="7030A0"/>
              </w:rPr>
            </w:pPr>
            <w:r w:rsidRPr="00766958">
              <w:rPr>
                <w:rFonts w:ascii="Times New Roman" w:hAnsi="Times New Roman" w:cs="Times New Roman"/>
                <w:color w:val="7030A0"/>
              </w:rPr>
              <w:t>7—23%</w:t>
            </w:r>
          </w:p>
        </w:tc>
        <w:tc>
          <w:tcPr>
            <w:tcW w:w="1620" w:type="dxa"/>
          </w:tcPr>
          <w:p w14:paraId="574A0323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8—26%</w:t>
            </w:r>
          </w:p>
          <w:p w14:paraId="72F9B143" w14:textId="06142543" w:rsidR="00DC64E0" w:rsidRPr="00561111" w:rsidRDefault="00766958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766958">
              <w:rPr>
                <w:rFonts w:ascii="Times New Roman" w:hAnsi="Times New Roman" w:cs="Times New Roman"/>
                <w:color w:val="7030A0"/>
              </w:rPr>
              <w:t>9—29</w:t>
            </w:r>
            <w:r w:rsidR="00DC64E0" w:rsidRPr="00766958">
              <w:rPr>
                <w:rFonts w:ascii="Times New Roman" w:hAnsi="Times New Roman" w:cs="Times New Roman"/>
                <w:color w:val="7030A0"/>
              </w:rPr>
              <w:t>%</w:t>
            </w:r>
          </w:p>
        </w:tc>
        <w:tc>
          <w:tcPr>
            <w:tcW w:w="1530" w:type="dxa"/>
          </w:tcPr>
          <w:p w14:paraId="11B11795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7—23%</w:t>
            </w:r>
          </w:p>
          <w:p w14:paraId="70124F86" w14:textId="0E9E82F6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766958">
              <w:rPr>
                <w:rFonts w:ascii="Times New Roman" w:hAnsi="Times New Roman" w:cs="Times New Roman"/>
                <w:color w:val="7030A0"/>
              </w:rPr>
              <w:t>8—26%</w:t>
            </w:r>
          </w:p>
        </w:tc>
        <w:tc>
          <w:tcPr>
            <w:tcW w:w="1188" w:type="dxa"/>
          </w:tcPr>
          <w:p w14:paraId="4CE89226" w14:textId="77777777" w:rsidR="00561111" w:rsidRDefault="00561111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561111">
              <w:rPr>
                <w:rFonts w:ascii="Times New Roman" w:hAnsi="Times New Roman" w:cs="Times New Roman"/>
                <w:color w:val="FF0000"/>
              </w:rPr>
              <w:t>4—13%</w:t>
            </w:r>
          </w:p>
          <w:p w14:paraId="0981AF02" w14:textId="298BE142" w:rsidR="00DC64E0" w:rsidRPr="00561111" w:rsidRDefault="00DC64E0" w:rsidP="00561111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  <w:r w:rsidRPr="00766958">
              <w:rPr>
                <w:rFonts w:ascii="Times New Roman" w:hAnsi="Times New Roman" w:cs="Times New Roman"/>
                <w:color w:val="7030A0"/>
              </w:rPr>
              <w:t>6—19%</w:t>
            </w:r>
          </w:p>
        </w:tc>
      </w:tr>
    </w:tbl>
    <w:p w14:paraId="570A8426" w14:textId="77777777" w:rsidR="00766958" w:rsidRPr="00B058FB" w:rsidRDefault="00766958" w:rsidP="00766958">
      <w:pPr>
        <w:spacing w:after="0"/>
        <w:rPr>
          <w:rFonts w:ascii="Times New Roman" w:hAnsi="Times New Roman" w:cs="Times New Roman"/>
        </w:rPr>
      </w:pPr>
    </w:p>
    <w:p w14:paraId="7C37E66A" w14:textId="66D3E894" w:rsidR="002A7ECD" w:rsidRDefault="008F079D" w:rsidP="007860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of AY2018, 53% of d</w:t>
      </w:r>
      <w:r w:rsidR="00D70300" w:rsidRPr="001A2440">
        <w:rPr>
          <w:rFonts w:ascii="Times New Roman" w:hAnsi="Times New Roman" w:cs="Times New Roman"/>
        </w:rPr>
        <w:t>epartments include</w:t>
      </w:r>
      <w:r w:rsidR="00766958">
        <w:rPr>
          <w:rFonts w:ascii="Times New Roman" w:hAnsi="Times New Roman" w:cs="Times New Roman"/>
        </w:rPr>
        <w:t>d</w:t>
      </w:r>
      <w:r w:rsidR="00D70300" w:rsidRPr="001A2440">
        <w:rPr>
          <w:rFonts w:ascii="Times New Roman" w:hAnsi="Times New Roman" w:cs="Times New Roman"/>
        </w:rPr>
        <w:t xml:space="preserve"> the QR </w:t>
      </w:r>
      <w:r>
        <w:rPr>
          <w:rFonts w:ascii="Times New Roman" w:hAnsi="Times New Roman" w:cs="Times New Roman"/>
        </w:rPr>
        <w:t>learning goal as part of their d</w:t>
      </w:r>
      <w:r w:rsidR="00D70300" w:rsidRPr="001A2440">
        <w:rPr>
          <w:rFonts w:ascii="Times New Roman" w:hAnsi="Times New Roman" w:cs="Times New Roman"/>
        </w:rPr>
        <w:t>epartment assessment plan</w:t>
      </w:r>
      <w:r>
        <w:rPr>
          <w:rFonts w:ascii="Times New Roman" w:hAnsi="Times New Roman" w:cs="Times New Roman"/>
        </w:rPr>
        <w:t>.</w:t>
      </w:r>
    </w:p>
    <w:p w14:paraId="6A8E7584" w14:textId="77777777" w:rsidR="007860C8" w:rsidRPr="001A2440" w:rsidRDefault="007860C8" w:rsidP="007860C8">
      <w:pPr>
        <w:spacing w:after="0"/>
        <w:rPr>
          <w:rFonts w:ascii="Times New Roman" w:hAnsi="Times New Roman" w:cs="Times New Roman"/>
        </w:rPr>
      </w:pPr>
    </w:p>
    <w:p w14:paraId="23BD25C2" w14:textId="01496ECC" w:rsidR="00922472" w:rsidRPr="001A2440" w:rsidRDefault="008A3BAC">
      <w:pPr>
        <w:rPr>
          <w:rFonts w:ascii="Times New Roman" w:hAnsi="Times New Roman" w:cs="Times New Roman"/>
        </w:rPr>
      </w:pPr>
      <w:r w:rsidRPr="001A2440">
        <w:rPr>
          <w:rFonts w:ascii="Times New Roman" w:hAnsi="Times New Roman" w:cs="Times New Roman"/>
        </w:rPr>
        <w:t xml:space="preserve">For more information on incorporating Quantitative Reasoning in </w:t>
      </w:r>
      <w:r w:rsidR="00922472" w:rsidRPr="001A2440">
        <w:rPr>
          <w:rFonts w:ascii="Times New Roman" w:hAnsi="Times New Roman" w:cs="Times New Roman"/>
        </w:rPr>
        <w:t xml:space="preserve">General Education courses, see </w:t>
      </w:r>
      <w:hyperlink r:id="rId5" w:history="1">
        <w:r w:rsidR="00922472" w:rsidRPr="001A2440">
          <w:rPr>
            <w:rStyle w:val="Hyperlink"/>
            <w:rFonts w:ascii="Times New Roman" w:hAnsi="Times New Roman" w:cs="Times New Roman"/>
          </w:rPr>
          <w:t>http://www.eiu.edu/learninggoals/quantitative.php</w:t>
        </w:r>
      </w:hyperlink>
      <w:r w:rsidR="00922472" w:rsidRPr="001A2440">
        <w:rPr>
          <w:rFonts w:ascii="Times New Roman" w:hAnsi="Times New Roman" w:cs="Times New Roman"/>
        </w:rPr>
        <w:t>.</w:t>
      </w:r>
    </w:p>
    <w:sectPr w:rsidR="00922472" w:rsidRPr="001A2440" w:rsidSect="00922472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F3619"/>
    <w:multiLevelType w:val="hybridMultilevel"/>
    <w:tmpl w:val="4786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F7996"/>
    <w:multiLevelType w:val="hybridMultilevel"/>
    <w:tmpl w:val="6C9E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91"/>
    <w:rsid w:val="00046E4D"/>
    <w:rsid w:val="001139B8"/>
    <w:rsid w:val="00126FD7"/>
    <w:rsid w:val="00145B2B"/>
    <w:rsid w:val="00185338"/>
    <w:rsid w:val="00185647"/>
    <w:rsid w:val="001A11BC"/>
    <w:rsid w:val="001A2440"/>
    <w:rsid w:val="001A6A4A"/>
    <w:rsid w:val="00221345"/>
    <w:rsid w:val="00231731"/>
    <w:rsid w:val="00235B5B"/>
    <w:rsid w:val="00261B54"/>
    <w:rsid w:val="002A7ECD"/>
    <w:rsid w:val="002B4816"/>
    <w:rsid w:val="002E3140"/>
    <w:rsid w:val="00373B78"/>
    <w:rsid w:val="003B571C"/>
    <w:rsid w:val="003D3333"/>
    <w:rsid w:val="003E503C"/>
    <w:rsid w:val="003F6217"/>
    <w:rsid w:val="00411820"/>
    <w:rsid w:val="0046252B"/>
    <w:rsid w:val="00561111"/>
    <w:rsid w:val="005842B4"/>
    <w:rsid w:val="00625984"/>
    <w:rsid w:val="006A3824"/>
    <w:rsid w:val="006B23CF"/>
    <w:rsid w:val="006E3225"/>
    <w:rsid w:val="00707582"/>
    <w:rsid w:val="00766958"/>
    <w:rsid w:val="00777784"/>
    <w:rsid w:val="00782293"/>
    <w:rsid w:val="007860C8"/>
    <w:rsid w:val="007E1AB6"/>
    <w:rsid w:val="008A3BAC"/>
    <w:rsid w:val="008B736B"/>
    <w:rsid w:val="008C3405"/>
    <w:rsid w:val="008E70FE"/>
    <w:rsid w:val="008F079D"/>
    <w:rsid w:val="00922472"/>
    <w:rsid w:val="00941C91"/>
    <w:rsid w:val="009F0592"/>
    <w:rsid w:val="00A35351"/>
    <w:rsid w:val="00B058FB"/>
    <w:rsid w:val="00B320A2"/>
    <w:rsid w:val="00B51BF3"/>
    <w:rsid w:val="00BC4356"/>
    <w:rsid w:val="00BE16A8"/>
    <w:rsid w:val="00BF31A0"/>
    <w:rsid w:val="00C23088"/>
    <w:rsid w:val="00C5729F"/>
    <w:rsid w:val="00C94490"/>
    <w:rsid w:val="00CA2B2B"/>
    <w:rsid w:val="00D70300"/>
    <w:rsid w:val="00DC64E0"/>
    <w:rsid w:val="00E60155"/>
    <w:rsid w:val="00EA43F7"/>
    <w:rsid w:val="00EE6407"/>
    <w:rsid w:val="00EF5231"/>
    <w:rsid w:val="00F015C8"/>
    <w:rsid w:val="00F539AD"/>
    <w:rsid w:val="00F565DC"/>
    <w:rsid w:val="00F975D7"/>
    <w:rsid w:val="00FD7590"/>
    <w:rsid w:val="00FE1A96"/>
    <w:rsid w:val="00FF0FD8"/>
    <w:rsid w:val="2A0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7F49"/>
  <w15:chartTrackingRefBased/>
  <w15:docId w15:val="{A77CA9F8-32D0-409D-9EB1-A268312E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72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4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iu.edu/learninggoals/quantitativ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Cheetham</dc:creator>
  <cp:keywords/>
  <dc:description/>
  <cp:lastModifiedBy>Carrie Gossett</cp:lastModifiedBy>
  <cp:revision>2</cp:revision>
  <cp:lastPrinted>2019-01-06T21:44:00Z</cp:lastPrinted>
  <dcterms:created xsi:type="dcterms:W3CDTF">2019-01-11T18:44:00Z</dcterms:created>
  <dcterms:modified xsi:type="dcterms:W3CDTF">2019-01-11T18:44:00Z</dcterms:modified>
</cp:coreProperties>
</file>