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2AA5" w:rsidRPr="009217A5" w:rsidRDefault="00AD2AA5" w:rsidP="00AD2AA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0E0E0"/>
        <w:jc w:val="both"/>
        <w:rPr>
          <w:b/>
          <w:sz w:val="22"/>
          <w:szCs w:val="22"/>
        </w:rPr>
      </w:pPr>
      <w:r>
        <w:rPr>
          <w:b/>
          <w:sz w:val="22"/>
          <w:szCs w:val="22"/>
        </w:rPr>
        <w:t xml:space="preserve">11. </w:t>
      </w:r>
      <w:r w:rsidR="00CF2818" w:rsidRPr="00723204">
        <w:rPr>
          <w:b/>
          <w:bCs/>
          <w:color w:val="000000"/>
        </w:rPr>
        <w:t xml:space="preserve">Plan to Evaluate </w:t>
      </w:r>
      <w:r w:rsidR="00CF2818">
        <w:rPr>
          <w:b/>
          <w:bCs/>
          <w:color w:val="000000"/>
        </w:rPr>
        <w:t xml:space="preserve">and Improve </w:t>
      </w:r>
      <w:r w:rsidR="00CF2818" w:rsidRPr="00723204">
        <w:rPr>
          <w:b/>
          <w:bCs/>
          <w:color w:val="000000"/>
        </w:rPr>
        <w:t>the Program</w:t>
      </w:r>
    </w:p>
    <w:p w:rsidR="00CF2818" w:rsidRDefault="00CF2818" w:rsidP="00CF2818">
      <w:pPr>
        <w:pBdr>
          <w:top w:val="single" w:sz="4" w:space="1" w:color="auto"/>
          <w:left w:val="single" w:sz="4" w:space="4" w:color="auto"/>
          <w:bottom w:val="single" w:sz="4" w:space="1" w:color="auto"/>
          <w:right w:val="single" w:sz="4" w:space="4" w:color="auto"/>
        </w:pBdr>
        <w:tabs>
          <w:tab w:val="left" w:pos="360"/>
          <w:tab w:val="left" w:pos="900"/>
        </w:tabs>
        <w:jc w:val="both"/>
        <w:rPr>
          <w:i/>
          <w:iCs/>
          <w:sz w:val="22"/>
        </w:rPr>
      </w:pPr>
      <w:r>
        <w:rPr>
          <w:iCs/>
          <w:sz w:val="22"/>
        </w:rPr>
        <w:t xml:space="preserve">Illinois Administrative Code: </w:t>
      </w:r>
      <w:r w:rsidRPr="0069292B">
        <w:rPr>
          <w:i/>
          <w:iCs/>
          <w:sz w:val="22"/>
        </w:rPr>
        <w:t>1050.30(a)(2):  The design, conduct, and evaluation of the unit of instruction, research or public service are under the direct and continuous control of the sponsoring institution’s established processes for academic planning and quality maintenance.</w:t>
      </w:r>
    </w:p>
    <w:p w:rsidR="00CF2818" w:rsidRDefault="00CF2818" w:rsidP="00CF2818">
      <w:pPr>
        <w:pBdr>
          <w:top w:val="single" w:sz="4" w:space="1" w:color="auto"/>
          <w:left w:val="single" w:sz="4" w:space="4" w:color="auto"/>
          <w:bottom w:val="single" w:sz="4" w:space="1" w:color="auto"/>
          <w:right w:val="single" w:sz="4" w:space="4" w:color="auto"/>
        </w:pBdr>
        <w:tabs>
          <w:tab w:val="left" w:pos="360"/>
          <w:tab w:val="left" w:pos="900"/>
        </w:tabs>
        <w:jc w:val="both"/>
        <w:rPr>
          <w:i/>
          <w:iCs/>
          <w:sz w:val="22"/>
        </w:rPr>
      </w:pPr>
    </w:p>
    <w:p w:rsidR="00CF2818" w:rsidRPr="001B0C78" w:rsidRDefault="00CF2818" w:rsidP="00CF2818">
      <w:pPr>
        <w:pBdr>
          <w:top w:val="single" w:sz="4" w:space="1" w:color="auto"/>
          <w:left w:val="single" w:sz="4" w:space="4" w:color="auto"/>
          <w:bottom w:val="single" w:sz="4" w:space="1" w:color="auto"/>
          <w:right w:val="single" w:sz="4" w:space="4" w:color="auto"/>
        </w:pBdr>
        <w:jc w:val="both"/>
        <w:rPr>
          <w:i/>
          <w:iCs/>
          <w:sz w:val="22"/>
        </w:rPr>
      </w:pPr>
      <w:r w:rsidRPr="001B0C78">
        <w:rPr>
          <w:i/>
          <w:iCs/>
          <w:sz w:val="22"/>
        </w:rPr>
        <w:t>1050.50 (a)(1</w:t>
      </w:r>
      <w:proofErr w:type="gramStart"/>
      <w:r w:rsidRPr="001B0C78">
        <w:rPr>
          <w:i/>
          <w:iCs/>
          <w:sz w:val="22"/>
        </w:rPr>
        <w:t>)  Three</w:t>
      </w:r>
      <w:proofErr w:type="gramEnd"/>
      <w:r w:rsidRPr="001B0C78">
        <w:rPr>
          <w:i/>
          <w:iCs/>
          <w:sz w:val="22"/>
        </w:rPr>
        <w:t xml:space="preserve"> years after approval of a new program, the institution shall provide a program progress report to the Board as part of the institution's annual report.  The </w:t>
      </w:r>
      <w:proofErr w:type="gramStart"/>
      <w:r w:rsidRPr="001B0C78">
        <w:rPr>
          <w:i/>
          <w:iCs/>
          <w:sz w:val="22"/>
        </w:rPr>
        <w:t>third year</w:t>
      </w:r>
      <w:proofErr w:type="gramEnd"/>
      <w:r w:rsidRPr="001B0C78">
        <w:rPr>
          <w:i/>
          <w:iCs/>
          <w:sz w:val="22"/>
        </w:rPr>
        <w:t xml:space="preserve"> progress report shall describe the institution's performance in meeting program objectives and show where any improvements are necessary.  The placement of a program in voluntary temporary suspension will not negate the requirement of submitting a </w:t>
      </w:r>
      <w:proofErr w:type="gramStart"/>
      <w:r w:rsidRPr="001B0C78">
        <w:rPr>
          <w:i/>
          <w:iCs/>
          <w:sz w:val="22"/>
        </w:rPr>
        <w:t>third year</w:t>
      </w:r>
      <w:proofErr w:type="gramEnd"/>
      <w:r w:rsidRPr="001B0C78">
        <w:rPr>
          <w:i/>
          <w:iCs/>
          <w:sz w:val="22"/>
        </w:rPr>
        <w:t xml:space="preserve"> progress report. </w:t>
      </w:r>
    </w:p>
    <w:p w:rsidR="00CF2818" w:rsidRDefault="00CF2818" w:rsidP="00CF2818">
      <w:pPr>
        <w:pBdr>
          <w:top w:val="single" w:sz="4" w:space="1" w:color="auto"/>
          <w:left w:val="single" w:sz="4" w:space="4" w:color="auto"/>
          <w:bottom w:val="single" w:sz="4" w:space="1" w:color="auto"/>
          <w:right w:val="single" w:sz="4" w:space="4" w:color="auto"/>
        </w:pBdr>
        <w:ind w:firstLine="720"/>
        <w:jc w:val="both"/>
        <w:rPr>
          <w:bCs/>
          <w:color w:val="000000"/>
          <w:sz w:val="22"/>
        </w:rPr>
      </w:pPr>
    </w:p>
    <w:p w:rsidR="00CF2818" w:rsidRPr="00991F5B" w:rsidRDefault="00CF2818" w:rsidP="00CF2818">
      <w:pPr>
        <w:pBdr>
          <w:top w:val="single" w:sz="4" w:space="1" w:color="auto"/>
          <w:left w:val="single" w:sz="4" w:space="4" w:color="auto"/>
          <w:bottom w:val="single" w:sz="4" w:space="1" w:color="auto"/>
          <w:right w:val="single" w:sz="4" w:space="4" w:color="auto"/>
        </w:pBdr>
        <w:rPr>
          <w:sz w:val="22"/>
        </w:rPr>
      </w:pPr>
      <w:r w:rsidRPr="00991F5B">
        <w:rPr>
          <w:sz w:val="22"/>
        </w:rPr>
        <w:t xml:space="preserve">Describe the program’s evaluation </w:t>
      </w:r>
      <w:proofErr w:type="gramStart"/>
      <w:r w:rsidRPr="00991F5B">
        <w:rPr>
          <w:sz w:val="22"/>
        </w:rPr>
        <w:t>plan.*</w:t>
      </w:r>
      <w:proofErr w:type="gramEnd"/>
      <w:r w:rsidRPr="00991F5B">
        <w:rPr>
          <w:sz w:val="22"/>
        </w:rPr>
        <w:t xml:space="preserve"> </w:t>
      </w:r>
    </w:p>
    <w:p w:rsidR="00CF2818" w:rsidRPr="00991F5B" w:rsidRDefault="00CF2818" w:rsidP="00CF2818">
      <w:pPr>
        <w:pBdr>
          <w:top w:val="single" w:sz="4" w:space="1" w:color="auto"/>
          <w:left w:val="single" w:sz="4" w:space="4" w:color="auto"/>
          <w:bottom w:val="single" w:sz="4" w:space="1" w:color="auto"/>
          <w:right w:val="single" w:sz="4" w:space="4" w:color="auto"/>
        </w:pBdr>
        <w:tabs>
          <w:tab w:val="left" w:pos="360"/>
          <w:tab w:val="left" w:pos="900"/>
        </w:tabs>
        <w:jc w:val="both"/>
        <w:rPr>
          <w:sz w:val="22"/>
        </w:rPr>
      </w:pPr>
    </w:p>
    <w:p w:rsidR="00CF2818" w:rsidRPr="00991F5B" w:rsidRDefault="00CF2818" w:rsidP="00CF2818">
      <w:pPr>
        <w:pBdr>
          <w:top w:val="single" w:sz="4" w:space="1" w:color="auto"/>
          <w:left w:val="single" w:sz="4" w:space="4" w:color="auto"/>
          <w:bottom w:val="single" w:sz="4" w:space="1" w:color="auto"/>
          <w:right w:val="single" w:sz="4" w:space="4" w:color="auto"/>
        </w:pBdr>
        <w:tabs>
          <w:tab w:val="left" w:pos="900"/>
          <w:tab w:val="left" w:pos="2160"/>
        </w:tabs>
        <w:jc w:val="both"/>
        <w:rPr>
          <w:sz w:val="22"/>
        </w:rPr>
      </w:pPr>
      <w:r w:rsidRPr="00991F5B">
        <w:rPr>
          <w:sz w:val="22"/>
        </w:rPr>
        <w:t xml:space="preserve">This plan should identify the </w:t>
      </w:r>
      <w:r w:rsidRPr="00991F5B">
        <w:rPr>
          <w:sz w:val="22"/>
          <w:u w:val="single"/>
        </w:rPr>
        <w:t>methods</w:t>
      </w:r>
      <w:r w:rsidRPr="00991F5B">
        <w:rPr>
          <w:sz w:val="22"/>
        </w:rPr>
        <w:t xml:space="preserve"> of program evaluation (e.g., faculty self study, curriculum committee review, external review, feedback from key stakeholders such as current students, alumni, employers, and/or staff at residency/internship/practicum sites) as well as its </w:t>
      </w:r>
      <w:r w:rsidRPr="00991F5B">
        <w:rPr>
          <w:sz w:val="22"/>
          <w:u w:val="single"/>
        </w:rPr>
        <w:t>key elements</w:t>
      </w:r>
      <w:r w:rsidRPr="00991F5B">
        <w:rPr>
          <w:sz w:val="22"/>
        </w:rPr>
        <w:t xml:space="preserve"> (e.g., curriculum, teaching, research, public services, diversity, quality, cost effectiveness, employer demand, etc., as is relevant to the program), and the </w:t>
      </w:r>
      <w:r w:rsidRPr="00991F5B">
        <w:rPr>
          <w:sz w:val="22"/>
          <w:u w:val="single"/>
        </w:rPr>
        <w:t>goals</w:t>
      </w:r>
      <w:r w:rsidRPr="00991F5B">
        <w:rPr>
          <w:sz w:val="22"/>
        </w:rPr>
        <w:t xml:space="preserve"> that will be set for each one. It also should illustrate the existence </w:t>
      </w:r>
      <w:proofErr w:type="gramStart"/>
      <w:r w:rsidRPr="00991F5B">
        <w:rPr>
          <w:sz w:val="22"/>
        </w:rPr>
        <w:t>of  regular</w:t>
      </w:r>
      <w:proofErr w:type="gramEnd"/>
      <w:r w:rsidRPr="00991F5B">
        <w:rPr>
          <w:sz w:val="22"/>
        </w:rPr>
        <w:t xml:space="preserve"> review and feedback processes to ensure that results of the evaluation will be used to improve the curriculum, instruction, and the overall quality of the program.</w:t>
      </w:r>
    </w:p>
    <w:p w:rsidR="00CF2818" w:rsidRPr="005F0A32" w:rsidRDefault="00CF2818" w:rsidP="00CF2818">
      <w:pPr>
        <w:pBdr>
          <w:top w:val="single" w:sz="4" w:space="1" w:color="auto"/>
          <w:left w:val="single" w:sz="4" w:space="4" w:color="auto"/>
          <w:bottom w:val="single" w:sz="4" w:space="1" w:color="auto"/>
          <w:right w:val="single" w:sz="4" w:space="4" w:color="auto"/>
        </w:pBdr>
        <w:tabs>
          <w:tab w:val="left" w:pos="900"/>
          <w:tab w:val="left" w:pos="2160"/>
        </w:tabs>
        <w:jc w:val="both"/>
        <w:rPr>
          <w:sz w:val="22"/>
          <w:highlight w:val="yellow"/>
        </w:rPr>
      </w:pPr>
    </w:p>
    <w:p w:rsidR="00CF2818" w:rsidRPr="0097117C" w:rsidRDefault="00CF2818" w:rsidP="00CF2818">
      <w:pPr>
        <w:pBdr>
          <w:top w:val="single" w:sz="4" w:space="1" w:color="auto"/>
          <w:left w:val="single" w:sz="4" w:space="4" w:color="auto"/>
          <w:bottom w:val="single" w:sz="4" w:space="1" w:color="auto"/>
          <w:right w:val="single" w:sz="4" w:space="4" w:color="auto"/>
        </w:pBdr>
        <w:jc w:val="both"/>
        <w:rPr>
          <w:sz w:val="22"/>
        </w:rPr>
      </w:pPr>
      <w:r w:rsidRPr="0097117C">
        <w:rPr>
          <w:sz w:val="22"/>
        </w:rPr>
        <w:t xml:space="preserve">Your discussion may include (but is not limited to) the following items: </w:t>
      </w:r>
    </w:p>
    <w:p w:rsidR="00CF2818" w:rsidRDefault="00CF2818" w:rsidP="00CF2818">
      <w:pPr>
        <w:numPr>
          <w:ilvl w:val="0"/>
          <w:numId w:val="21"/>
        </w:numPr>
        <w:pBdr>
          <w:top w:val="single" w:sz="4" w:space="1" w:color="auto"/>
          <w:left w:val="single" w:sz="4" w:space="4" w:color="auto"/>
          <w:bottom w:val="single" w:sz="4" w:space="1" w:color="auto"/>
          <w:right w:val="single" w:sz="4" w:space="4" w:color="auto"/>
        </w:pBdr>
        <w:ind w:hanging="720"/>
      </w:pPr>
      <w:r w:rsidRPr="0097117C">
        <w:t>Faculty/student collaboration in research, community service, or other projects</w:t>
      </w:r>
      <w:r>
        <w:t>;</w:t>
      </w:r>
    </w:p>
    <w:p w:rsidR="00CF2818" w:rsidRDefault="00CF2818" w:rsidP="00CF2818">
      <w:pPr>
        <w:numPr>
          <w:ilvl w:val="0"/>
          <w:numId w:val="21"/>
        </w:numPr>
        <w:pBdr>
          <w:top w:val="single" w:sz="4" w:space="1" w:color="auto"/>
          <w:left w:val="single" w:sz="4" w:space="4" w:color="auto"/>
          <w:bottom w:val="single" w:sz="4" w:space="1" w:color="auto"/>
          <w:right w:val="single" w:sz="4" w:space="4" w:color="auto"/>
        </w:pBdr>
        <w:ind w:hanging="720"/>
      </w:pPr>
      <w:r w:rsidRPr="0097117C">
        <w:t>Faculty productivity (in research, scholarship, creative activities, instruction, and public service)</w:t>
      </w:r>
      <w:r>
        <w:t>;</w:t>
      </w:r>
    </w:p>
    <w:p w:rsidR="00CF2818" w:rsidRDefault="00CF2818" w:rsidP="00CF2818">
      <w:pPr>
        <w:numPr>
          <w:ilvl w:val="0"/>
          <w:numId w:val="21"/>
        </w:numPr>
        <w:pBdr>
          <w:top w:val="single" w:sz="4" w:space="1" w:color="auto"/>
          <w:left w:val="single" w:sz="4" w:space="4" w:color="auto"/>
          <w:bottom w:val="single" w:sz="4" w:space="1" w:color="auto"/>
          <w:right w:val="single" w:sz="4" w:space="4" w:color="auto"/>
        </w:pBdr>
        <w:ind w:hanging="720"/>
      </w:pPr>
      <w:r w:rsidRPr="0097117C">
        <w:t>Student engagement in integrative learning activities (internships, practica, service learning, study abroad, etc.)</w:t>
      </w:r>
      <w:r>
        <w:t>;</w:t>
      </w:r>
    </w:p>
    <w:p w:rsidR="00CF2818" w:rsidRDefault="00CF2818" w:rsidP="00CF2818">
      <w:pPr>
        <w:numPr>
          <w:ilvl w:val="0"/>
          <w:numId w:val="21"/>
        </w:numPr>
        <w:pBdr>
          <w:top w:val="single" w:sz="4" w:space="1" w:color="auto"/>
          <w:left w:val="single" w:sz="4" w:space="4" w:color="auto"/>
          <w:bottom w:val="single" w:sz="4" w:space="1" w:color="auto"/>
          <w:right w:val="single" w:sz="4" w:space="4" w:color="auto"/>
        </w:pBdr>
        <w:ind w:hanging="720"/>
      </w:pPr>
      <w:r w:rsidRPr="0097117C">
        <w:t>External funding such as research grants and contracts</w:t>
      </w:r>
      <w:r>
        <w:t>;</w:t>
      </w:r>
    </w:p>
    <w:p w:rsidR="00CF2818" w:rsidRPr="0058434D" w:rsidRDefault="00CF2818" w:rsidP="00CF2818">
      <w:pPr>
        <w:numPr>
          <w:ilvl w:val="0"/>
          <w:numId w:val="21"/>
        </w:numPr>
        <w:pBdr>
          <w:top w:val="single" w:sz="4" w:space="1" w:color="auto"/>
          <w:left w:val="single" w:sz="4" w:space="4" w:color="auto"/>
          <w:bottom w:val="single" w:sz="4" w:space="1" w:color="auto"/>
          <w:right w:val="single" w:sz="4" w:space="4" w:color="auto"/>
        </w:pBdr>
        <w:ind w:hanging="720"/>
        <w:rPr>
          <w:b/>
        </w:rPr>
      </w:pPr>
      <w:r w:rsidRPr="0097117C">
        <w:t xml:space="preserve">Support of one or more of the Goals of </w:t>
      </w:r>
      <w:r w:rsidRPr="0097117C">
        <w:rPr>
          <w:i/>
        </w:rPr>
        <w:t>The Illinois Public Agenda</w:t>
      </w:r>
      <w:r>
        <w:rPr>
          <w:i/>
        </w:rPr>
        <w:t>;</w:t>
      </w:r>
    </w:p>
    <w:p w:rsidR="00CF2818" w:rsidRDefault="00CF2818" w:rsidP="00CF2818">
      <w:pPr>
        <w:numPr>
          <w:ilvl w:val="0"/>
          <w:numId w:val="21"/>
        </w:numPr>
        <w:pBdr>
          <w:top w:val="single" w:sz="4" w:space="1" w:color="auto"/>
          <w:left w:val="single" w:sz="4" w:space="4" w:color="auto"/>
          <w:bottom w:val="single" w:sz="4" w:space="1" w:color="auto"/>
          <w:right w:val="single" w:sz="4" w:space="4" w:color="auto"/>
        </w:pBdr>
        <w:ind w:hanging="720"/>
      </w:pPr>
      <w:r w:rsidRPr="0097117C">
        <w:t>Results of student learning assessment</w:t>
      </w:r>
      <w:r>
        <w:t>;</w:t>
      </w:r>
    </w:p>
    <w:p w:rsidR="00CF2818" w:rsidRPr="0058434D" w:rsidRDefault="00CF2818" w:rsidP="00CF2818">
      <w:pPr>
        <w:numPr>
          <w:ilvl w:val="0"/>
          <w:numId w:val="21"/>
        </w:numPr>
        <w:pBdr>
          <w:top w:val="single" w:sz="4" w:space="1" w:color="auto"/>
          <w:left w:val="single" w:sz="4" w:space="4" w:color="auto"/>
          <w:bottom w:val="single" w:sz="4" w:space="1" w:color="auto"/>
          <w:right w:val="single" w:sz="4" w:space="4" w:color="auto"/>
        </w:pBdr>
        <w:ind w:hanging="720"/>
      </w:pPr>
      <w:r w:rsidRPr="0097117C">
        <w:t>Employer, alumni, and other satisfaction survey results</w:t>
      </w:r>
      <w:r>
        <w:t>;</w:t>
      </w:r>
    </w:p>
    <w:p w:rsidR="00CF2818" w:rsidRDefault="00CF2818" w:rsidP="00CF2818">
      <w:pPr>
        <w:numPr>
          <w:ilvl w:val="0"/>
          <w:numId w:val="21"/>
        </w:numPr>
        <w:pBdr>
          <w:top w:val="single" w:sz="4" w:space="1" w:color="auto"/>
          <w:left w:val="single" w:sz="4" w:space="4" w:color="auto"/>
          <w:bottom w:val="single" w:sz="4" w:space="1" w:color="auto"/>
          <w:right w:val="single" w:sz="4" w:space="4" w:color="auto"/>
        </w:pBdr>
        <w:ind w:hanging="720"/>
      </w:pPr>
      <w:r w:rsidRPr="0097117C">
        <w:t>Percent of students involved in faculty research or other faculty led projects</w:t>
      </w:r>
      <w:r>
        <w:t>;</w:t>
      </w:r>
    </w:p>
    <w:p w:rsidR="00CF2818" w:rsidRDefault="00CF2818" w:rsidP="00CF2818">
      <w:pPr>
        <w:numPr>
          <w:ilvl w:val="0"/>
          <w:numId w:val="21"/>
        </w:numPr>
        <w:pBdr>
          <w:top w:val="single" w:sz="4" w:space="1" w:color="auto"/>
          <w:left w:val="single" w:sz="4" w:space="4" w:color="auto"/>
          <w:bottom w:val="single" w:sz="4" w:space="1" w:color="auto"/>
          <w:right w:val="single" w:sz="4" w:space="4" w:color="auto"/>
        </w:pBdr>
        <w:ind w:hanging="720"/>
      </w:pPr>
      <w:r w:rsidRPr="0097117C">
        <w:t>Percent of graduate students in the program presenting or publishing papers</w:t>
      </w:r>
      <w:r>
        <w:t>;</w:t>
      </w:r>
      <w:r w:rsidRPr="0097117C">
        <w:t xml:space="preserve"> </w:t>
      </w:r>
    </w:p>
    <w:p w:rsidR="00CF2818" w:rsidRPr="0058434D" w:rsidRDefault="00CF2818" w:rsidP="00CF2818">
      <w:pPr>
        <w:numPr>
          <w:ilvl w:val="0"/>
          <w:numId w:val="21"/>
        </w:numPr>
        <w:pBdr>
          <w:top w:val="single" w:sz="4" w:space="1" w:color="auto"/>
          <w:left w:val="single" w:sz="4" w:space="4" w:color="auto"/>
          <w:bottom w:val="single" w:sz="4" w:space="1" w:color="auto"/>
          <w:right w:val="single" w:sz="4" w:space="4" w:color="auto"/>
        </w:pBdr>
        <w:ind w:hanging="720"/>
      </w:pPr>
      <w:r w:rsidRPr="0097117C">
        <w:t>Pass rate of graduates on the end-of-program, comprehensive, standardized, and/or certification/licensure examinations</w:t>
      </w:r>
      <w:r>
        <w:t>;</w:t>
      </w:r>
    </w:p>
    <w:p w:rsidR="00CF2818" w:rsidRDefault="00CF2818" w:rsidP="00CF2818">
      <w:pPr>
        <w:numPr>
          <w:ilvl w:val="0"/>
          <w:numId w:val="21"/>
        </w:numPr>
        <w:pBdr>
          <w:top w:val="single" w:sz="4" w:space="1" w:color="auto"/>
          <w:left w:val="single" w:sz="4" w:space="4" w:color="auto"/>
          <w:bottom w:val="single" w:sz="4" w:space="1" w:color="auto"/>
          <w:right w:val="single" w:sz="4" w:space="4" w:color="auto"/>
        </w:pBdr>
        <w:ind w:hanging="720"/>
      </w:pPr>
      <w:r w:rsidRPr="0097117C">
        <w:t xml:space="preserve">Retention, graduation, and </w:t>
      </w:r>
      <w:r>
        <w:t>time-to-degree completion rates;</w:t>
      </w:r>
      <w:r w:rsidRPr="0097117C">
        <w:t xml:space="preserve"> and</w:t>
      </w:r>
    </w:p>
    <w:p w:rsidR="00CF2818" w:rsidRDefault="00CF2818" w:rsidP="00CF2818">
      <w:pPr>
        <w:numPr>
          <w:ilvl w:val="0"/>
          <w:numId w:val="21"/>
        </w:numPr>
        <w:pBdr>
          <w:top w:val="single" w:sz="4" w:space="1" w:color="auto"/>
          <w:left w:val="single" w:sz="4" w:space="4" w:color="auto"/>
          <w:bottom w:val="single" w:sz="4" w:space="1" w:color="auto"/>
          <w:right w:val="single" w:sz="4" w:space="4" w:color="auto"/>
        </w:pBdr>
        <w:ind w:hanging="720"/>
      </w:pPr>
      <w:r w:rsidRPr="0097117C">
        <w:t>Job placement, career advancement, and/or graduate school acceptance rates.</w:t>
      </w:r>
    </w:p>
    <w:p w:rsidR="00CF2818" w:rsidRPr="0097117C" w:rsidRDefault="00CF2818" w:rsidP="00CF2818">
      <w:pPr>
        <w:pBdr>
          <w:top w:val="single" w:sz="4" w:space="1" w:color="auto"/>
          <w:left w:val="single" w:sz="4" w:space="4" w:color="auto"/>
          <w:bottom w:val="single" w:sz="4" w:space="1" w:color="auto"/>
          <w:right w:val="single" w:sz="4" w:space="4" w:color="auto"/>
        </w:pBdr>
      </w:pPr>
    </w:p>
    <w:p w:rsidR="00CF2818" w:rsidRDefault="00CF2818" w:rsidP="00CF2818">
      <w:pPr>
        <w:pBdr>
          <w:top w:val="single" w:sz="4" w:space="1" w:color="auto"/>
          <w:left w:val="single" w:sz="4" w:space="4" w:color="auto"/>
          <w:bottom w:val="single" w:sz="4" w:space="1" w:color="auto"/>
          <w:right w:val="single" w:sz="4" w:space="4" w:color="auto"/>
        </w:pBdr>
        <w:rPr>
          <w:bCs/>
        </w:rPr>
      </w:pPr>
      <w:r w:rsidRPr="0097117C">
        <w:t>*This plan may be based on the institution’s process for the submission of a progress report to the IBHE at the end of the 3</w:t>
      </w:r>
      <w:r w:rsidRPr="0097117C">
        <w:rPr>
          <w:vertAlign w:val="superscript"/>
        </w:rPr>
        <w:t>rd</w:t>
      </w:r>
      <w:r w:rsidRPr="0097117C">
        <w:t xml:space="preserve"> year of operation and the program’s participation in the IBHE’s 8-year program review process or the program’s specialized accreditation review process.</w:t>
      </w:r>
      <w:r>
        <w:t xml:space="preserve"> </w:t>
      </w:r>
    </w:p>
    <w:p w:rsidR="00AD2AA5" w:rsidRPr="009217A5" w:rsidRDefault="00AD2AA5" w:rsidP="00AD2AA5">
      <w:pPr>
        <w:jc w:val="both"/>
        <w:rPr>
          <w:sz w:val="22"/>
          <w:szCs w:val="22"/>
        </w:rPr>
      </w:pPr>
    </w:p>
    <w:p w:rsidR="00AD2AA5" w:rsidRPr="009217A5" w:rsidRDefault="00AD2AA5" w:rsidP="00AD2AA5">
      <w:pPr>
        <w:jc w:val="both"/>
        <w:rPr>
          <w:sz w:val="22"/>
          <w:szCs w:val="22"/>
        </w:rPr>
        <w:sectPr w:rsidR="00AD2AA5" w:rsidRPr="009217A5" w:rsidSect="004B06A0">
          <w:headerReference w:type="default" r:id="rId8"/>
          <w:footerReference w:type="default" r:id="rId9"/>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AD2AA5" w:rsidRPr="009217A5" w:rsidRDefault="00AD2AA5" w:rsidP="00AD2AA5">
      <w:pPr>
        <w:jc w:val="both"/>
        <w:rPr>
          <w:sz w:val="22"/>
          <w:szCs w:val="22"/>
        </w:rPr>
      </w:pPr>
    </w:p>
    <w:p w:rsidR="00AD2AA5" w:rsidRPr="009217A5" w:rsidRDefault="00AD2AA5" w:rsidP="00AD2AA5">
      <w:pPr>
        <w:jc w:val="both"/>
        <w:rPr>
          <w:sz w:val="22"/>
          <w:szCs w:val="22"/>
        </w:rPr>
        <w:sectPr w:rsidR="00AD2AA5" w:rsidRPr="009217A5" w:rsidSect="004B06A0">
          <w:type w:val="continuous"/>
          <w:pgSz w:w="12240" w:h="15840"/>
          <w:pgMar w:top="1440" w:right="1800" w:bottom="1440" w:left="1800" w:header="720" w:footer="720" w:gutter="0"/>
          <w:cols w:space="720"/>
          <w:formProt w:val="0"/>
          <w:docGrid w:linePitch="360"/>
        </w:sectPr>
      </w:pPr>
    </w:p>
    <w:p w:rsidR="00AD2AA5" w:rsidRPr="009217A5" w:rsidRDefault="00AD2AA5" w:rsidP="00AD2AA5">
      <w:pPr>
        <w:jc w:val="both"/>
        <w:rPr>
          <w:sz w:val="22"/>
          <w:szCs w:val="22"/>
        </w:rPr>
      </w:pPr>
    </w:p>
    <w:p w:rsidR="00AD2AA5" w:rsidRPr="009217A5" w:rsidRDefault="00AD2AA5" w:rsidP="00DA22D7">
      <w:pPr>
        <w:pBdr>
          <w:top w:val="single" w:sz="4" w:space="1" w:color="auto"/>
          <w:left w:val="single" w:sz="4" w:space="4" w:color="auto"/>
          <w:right w:val="single" w:sz="4" w:space="4" w:color="auto"/>
        </w:pBdr>
        <w:shd w:val="clear" w:color="auto" w:fill="E0E0E0"/>
        <w:jc w:val="both"/>
        <w:rPr>
          <w:b/>
          <w:sz w:val="22"/>
          <w:szCs w:val="22"/>
        </w:rPr>
      </w:pPr>
      <w:r>
        <w:rPr>
          <w:b/>
          <w:sz w:val="22"/>
          <w:szCs w:val="22"/>
        </w:rPr>
        <w:lastRenderedPageBreak/>
        <w:t xml:space="preserve">12. </w:t>
      </w:r>
      <w:r w:rsidR="00F83BF4">
        <w:rPr>
          <w:b/>
        </w:rPr>
        <w:t>Budget Narrative</w:t>
      </w:r>
      <w:r w:rsidRPr="009217A5">
        <w:rPr>
          <w:b/>
          <w:sz w:val="22"/>
          <w:szCs w:val="22"/>
        </w:rPr>
        <w:t xml:space="preserve"> </w:t>
      </w:r>
    </w:p>
    <w:p w:rsidR="00F83BF4" w:rsidRPr="0067586D" w:rsidRDefault="00F83BF4" w:rsidP="000E671F">
      <w:pPr>
        <w:pBdr>
          <w:top w:val="single" w:sz="4" w:space="1" w:color="auto"/>
          <w:left w:val="single" w:sz="4" w:space="4" w:color="auto"/>
          <w:bottom w:val="single" w:sz="4" w:space="1" w:color="auto"/>
          <w:right w:val="single" w:sz="4" w:space="4" w:color="auto"/>
        </w:pBdr>
        <w:rPr>
          <w:b/>
          <w:sz w:val="22"/>
        </w:rPr>
      </w:pPr>
      <w:r w:rsidRPr="0067586D">
        <w:rPr>
          <w:b/>
          <w:sz w:val="22"/>
        </w:rPr>
        <w:t>Fiscal and Personnel Resources</w:t>
      </w:r>
    </w:p>
    <w:p w:rsidR="00F83BF4" w:rsidRDefault="00F83BF4" w:rsidP="000E671F">
      <w:pPr>
        <w:pStyle w:val="BodyTextIndent3"/>
        <w:pBdr>
          <w:top w:val="single" w:sz="4" w:space="1" w:color="auto"/>
          <w:left w:val="single" w:sz="4" w:space="4" w:color="auto"/>
          <w:bottom w:val="single" w:sz="4" w:space="1" w:color="auto"/>
          <w:right w:val="single" w:sz="4" w:space="4" w:color="auto"/>
        </w:pBdr>
        <w:spacing w:after="0"/>
        <w:ind w:left="0"/>
        <w:jc w:val="both"/>
        <w:rPr>
          <w:i/>
          <w:iCs/>
          <w:sz w:val="22"/>
          <w:szCs w:val="22"/>
        </w:rPr>
      </w:pPr>
    </w:p>
    <w:p w:rsidR="00F83BF4" w:rsidRDefault="00F83BF4" w:rsidP="000E671F">
      <w:pPr>
        <w:pStyle w:val="BodyTextIndent3"/>
        <w:pBdr>
          <w:top w:val="single" w:sz="4" w:space="1" w:color="auto"/>
          <w:left w:val="single" w:sz="4" w:space="4" w:color="auto"/>
          <w:bottom w:val="single" w:sz="4" w:space="1" w:color="auto"/>
          <w:right w:val="single" w:sz="4" w:space="4" w:color="auto"/>
        </w:pBdr>
        <w:spacing w:after="0"/>
        <w:ind w:left="0"/>
        <w:jc w:val="both"/>
        <w:rPr>
          <w:i/>
          <w:iCs/>
          <w:sz w:val="22"/>
          <w:szCs w:val="22"/>
        </w:rPr>
      </w:pPr>
      <w:r>
        <w:rPr>
          <w:iCs/>
          <w:sz w:val="22"/>
          <w:szCs w:val="22"/>
        </w:rPr>
        <w:t xml:space="preserve">Illinois Administrative Code: </w:t>
      </w:r>
      <w:r w:rsidRPr="0092639E">
        <w:rPr>
          <w:i/>
          <w:iCs/>
          <w:sz w:val="22"/>
          <w:szCs w:val="22"/>
        </w:rPr>
        <w:t>1050.30(a)(5):  A) The financial commitments to support the unit of instruction, research or public service are sufficient to ensure that the faculty and staff and support services necessary to offer the unit of instruction, research or public service can be acquired and maintained; B) Projections of revenues necessary to support the unit of instruction, research or public service are based on supportable estimates of state appropriations, local tax support, student tuition and fees, private gifts, and/or governmental grants and contracts.</w:t>
      </w:r>
    </w:p>
    <w:p w:rsidR="00F83BF4" w:rsidRDefault="00F83BF4" w:rsidP="000E671F">
      <w:pPr>
        <w:pBdr>
          <w:top w:val="single" w:sz="4" w:space="1" w:color="auto"/>
          <w:left w:val="single" w:sz="4" w:space="4" w:color="auto"/>
          <w:bottom w:val="single" w:sz="4" w:space="1" w:color="auto"/>
          <w:right w:val="single" w:sz="4" w:space="4" w:color="auto"/>
        </w:pBdr>
        <w:rPr>
          <w:b/>
          <w:sz w:val="22"/>
        </w:rPr>
      </w:pPr>
    </w:p>
    <w:p w:rsidR="00F83BF4" w:rsidRPr="0056123E" w:rsidRDefault="00F83BF4" w:rsidP="000E671F">
      <w:pPr>
        <w:pBdr>
          <w:top w:val="single" w:sz="4" w:space="1" w:color="auto"/>
          <w:left w:val="single" w:sz="4" w:space="4" w:color="auto"/>
          <w:bottom w:val="single" w:sz="4" w:space="1" w:color="auto"/>
          <w:right w:val="single" w:sz="4" w:space="4" w:color="auto"/>
        </w:pBdr>
        <w:rPr>
          <w:b/>
          <w:sz w:val="22"/>
        </w:rPr>
      </w:pPr>
      <w:r w:rsidRPr="0056123E">
        <w:rPr>
          <w:b/>
          <w:sz w:val="22"/>
        </w:rPr>
        <w:t>Budget Rationale</w:t>
      </w:r>
    </w:p>
    <w:p w:rsidR="00F83BF4" w:rsidRPr="0056123E" w:rsidRDefault="00F83BF4" w:rsidP="000E671F">
      <w:pPr>
        <w:pBdr>
          <w:top w:val="single" w:sz="4" w:space="1" w:color="auto"/>
          <w:left w:val="single" w:sz="4" w:space="4" w:color="auto"/>
          <w:bottom w:val="single" w:sz="4" w:space="1" w:color="auto"/>
          <w:right w:val="single" w:sz="4" w:space="4" w:color="auto"/>
        </w:pBdr>
        <w:rPr>
          <w:b/>
          <w:sz w:val="22"/>
        </w:rPr>
      </w:pPr>
    </w:p>
    <w:p w:rsidR="00F83BF4" w:rsidRDefault="00F83BF4" w:rsidP="000E671F">
      <w:pPr>
        <w:pBdr>
          <w:top w:val="single" w:sz="4" w:space="1" w:color="auto"/>
          <w:left w:val="single" w:sz="4" w:space="4" w:color="auto"/>
          <w:bottom w:val="single" w:sz="4" w:space="1" w:color="auto"/>
          <w:right w:val="single" w:sz="4" w:space="4" w:color="auto"/>
        </w:pBdr>
        <w:jc w:val="both"/>
        <w:rPr>
          <w:sz w:val="22"/>
        </w:rPr>
      </w:pPr>
      <w:r w:rsidRPr="0056123E">
        <w:rPr>
          <w:sz w:val="22"/>
        </w:rPr>
        <w:t xml:space="preserve">Provide financial data that document the </w:t>
      </w:r>
      <w:r>
        <w:rPr>
          <w:sz w:val="22"/>
        </w:rPr>
        <w:t>university’s</w:t>
      </w:r>
      <w:r w:rsidRPr="0056123E">
        <w:rPr>
          <w:sz w:val="22"/>
        </w:rPr>
        <w:t xml:space="preserve"> capacity to implement and sustain the proposed program</w:t>
      </w:r>
      <w:r>
        <w:rPr>
          <w:sz w:val="22"/>
        </w:rPr>
        <w:t xml:space="preserve"> and describe the program’s s</w:t>
      </w:r>
      <w:r w:rsidRPr="0056123E">
        <w:rPr>
          <w:sz w:val="22"/>
        </w:rPr>
        <w:t>ources of funding.</w:t>
      </w:r>
    </w:p>
    <w:p w:rsidR="00F83BF4" w:rsidRPr="0056123E" w:rsidRDefault="00F83BF4" w:rsidP="000E671F">
      <w:pPr>
        <w:pBdr>
          <w:top w:val="single" w:sz="4" w:space="1" w:color="auto"/>
          <w:left w:val="single" w:sz="4" w:space="4" w:color="auto"/>
          <w:bottom w:val="single" w:sz="4" w:space="1" w:color="auto"/>
          <w:right w:val="single" w:sz="4" w:space="4" w:color="auto"/>
        </w:pBdr>
        <w:jc w:val="both"/>
        <w:rPr>
          <w:sz w:val="22"/>
        </w:rPr>
      </w:pPr>
    </w:p>
    <w:p w:rsidR="00F83BF4" w:rsidRDefault="00F83BF4" w:rsidP="000E671F">
      <w:pPr>
        <w:pStyle w:val="ListParagraph"/>
        <w:numPr>
          <w:ilvl w:val="0"/>
          <w:numId w:val="26"/>
        </w:numPr>
        <w:pBdr>
          <w:top w:val="single" w:sz="4" w:space="1" w:color="auto"/>
          <w:left w:val="single" w:sz="4" w:space="4" w:color="auto"/>
          <w:bottom w:val="single" w:sz="4" w:space="1" w:color="auto"/>
          <w:right w:val="single" w:sz="4" w:space="4" w:color="auto"/>
        </w:pBdr>
        <w:ind w:left="720" w:hanging="720"/>
        <w:jc w:val="both"/>
        <w:rPr>
          <w:sz w:val="22"/>
        </w:rPr>
      </w:pPr>
      <w:r w:rsidRPr="00F83BF4">
        <w:rPr>
          <w:sz w:val="22"/>
        </w:rPr>
        <w:t>Is the unit’s (Department, College, School) current budget adequate to support the program when fully implemented?  If new resources are to be provided to the unit to support the program, what will be the source(s) of these funds?  Is the program requesting new state funds?  (During recent years, no new funds have been available from the state (IBHE) to support new degree programs).</w:t>
      </w:r>
    </w:p>
    <w:p w:rsidR="00F83BF4" w:rsidRPr="00F83BF4" w:rsidRDefault="00F83BF4" w:rsidP="000E671F">
      <w:pPr>
        <w:pStyle w:val="ListParagraph"/>
        <w:numPr>
          <w:ilvl w:val="0"/>
          <w:numId w:val="26"/>
        </w:numPr>
        <w:pBdr>
          <w:top w:val="single" w:sz="4" w:space="1" w:color="auto"/>
          <w:left w:val="single" w:sz="4" w:space="4" w:color="auto"/>
          <w:bottom w:val="single" w:sz="4" w:space="1" w:color="auto"/>
          <w:right w:val="single" w:sz="4" w:space="4" w:color="auto"/>
        </w:pBdr>
        <w:ind w:left="720" w:hanging="720"/>
        <w:jc w:val="both"/>
        <w:rPr>
          <w:sz w:val="22"/>
        </w:rPr>
      </w:pPr>
      <w:r w:rsidRPr="00F83BF4">
        <w:rPr>
          <w:sz w:val="22"/>
        </w:rPr>
        <w:t>Will current</w:t>
      </w:r>
      <w:r w:rsidRPr="00F83BF4">
        <w:rPr>
          <w:sz w:val="22"/>
          <w:u w:val="single"/>
        </w:rPr>
        <w:t xml:space="preserve"> faculty</w:t>
      </w:r>
      <w:r w:rsidRPr="00F83BF4">
        <w:rPr>
          <w:sz w:val="22"/>
        </w:rPr>
        <w:t xml:space="preserve"> be adequate to provide instruction for the new program or will additional faculty need to be hired?  If additional hires will be made, please elaborate.</w:t>
      </w:r>
    </w:p>
    <w:p w:rsidR="00F83BF4" w:rsidRDefault="00F83BF4" w:rsidP="000E671F">
      <w:pPr>
        <w:pStyle w:val="ListParagraph"/>
        <w:numPr>
          <w:ilvl w:val="0"/>
          <w:numId w:val="26"/>
        </w:numPr>
        <w:pBdr>
          <w:top w:val="single" w:sz="4" w:space="1" w:color="auto"/>
          <w:left w:val="single" w:sz="4" w:space="4" w:color="auto"/>
          <w:bottom w:val="single" w:sz="4" w:space="1" w:color="auto"/>
          <w:right w:val="single" w:sz="4" w:space="4" w:color="auto"/>
        </w:pBdr>
        <w:ind w:left="720" w:hanging="720"/>
        <w:jc w:val="both"/>
        <w:rPr>
          <w:sz w:val="22"/>
        </w:rPr>
      </w:pPr>
      <w:r w:rsidRPr="00F83BF4">
        <w:rPr>
          <w:sz w:val="22"/>
        </w:rPr>
        <w:t xml:space="preserve">Will current </w:t>
      </w:r>
      <w:r w:rsidRPr="00F83BF4">
        <w:rPr>
          <w:sz w:val="22"/>
          <w:u w:val="single"/>
        </w:rPr>
        <w:t>staff</w:t>
      </w:r>
      <w:r w:rsidRPr="00F83BF4">
        <w:rPr>
          <w:sz w:val="22"/>
        </w:rPr>
        <w:t xml:space="preserve"> be adequate to implement and maintain the new program or will additional staff be hired?  Will current advising staff be adequate to provide student support and advisement, including job placement and or admission to advanced studies?  If additional hires will be made, please elaborate.</w:t>
      </w:r>
    </w:p>
    <w:p w:rsidR="00F83BF4" w:rsidRDefault="00F83BF4" w:rsidP="000E671F">
      <w:pPr>
        <w:pStyle w:val="ListParagraph"/>
        <w:numPr>
          <w:ilvl w:val="0"/>
          <w:numId w:val="26"/>
        </w:numPr>
        <w:pBdr>
          <w:top w:val="single" w:sz="4" w:space="1" w:color="auto"/>
          <w:left w:val="single" w:sz="4" w:space="4" w:color="auto"/>
          <w:bottom w:val="single" w:sz="4" w:space="1" w:color="auto"/>
          <w:right w:val="single" w:sz="4" w:space="4" w:color="auto"/>
        </w:pBdr>
        <w:ind w:left="720" w:hanging="720"/>
        <w:jc w:val="both"/>
        <w:rPr>
          <w:sz w:val="22"/>
        </w:rPr>
      </w:pPr>
      <w:r w:rsidRPr="00F83BF4">
        <w:rPr>
          <w:sz w:val="22"/>
        </w:rPr>
        <w:t>Are the unit’s current</w:t>
      </w:r>
      <w:r w:rsidRPr="00F83BF4">
        <w:rPr>
          <w:sz w:val="22"/>
          <w:u w:val="single"/>
        </w:rPr>
        <w:t xml:space="preserve"> facilities</w:t>
      </w:r>
      <w:r w:rsidRPr="00F83BF4">
        <w:rPr>
          <w:sz w:val="22"/>
        </w:rPr>
        <w:t xml:space="preserve"> adequate to support the program when fully implemented?  Will there need to be facility renovation or new construction to house the program?  (Refer to Section #13.1).</w:t>
      </w:r>
    </w:p>
    <w:p w:rsidR="000E671F" w:rsidRPr="000E671F" w:rsidRDefault="00F83BF4" w:rsidP="000E671F">
      <w:pPr>
        <w:pStyle w:val="ListParagraph"/>
        <w:numPr>
          <w:ilvl w:val="0"/>
          <w:numId w:val="26"/>
        </w:numPr>
        <w:pBdr>
          <w:top w:val="single" w:sz="4" w:space="1" w:color="auto"/>
          <w:left w:val="single" w:sz="4" w:space="4" w:color="auto"/>
          <w:bottom w:val="single" w:sz="4" w:space="1" w:color="auto"/>
          <w:right w:val="single" w:sz="4" w:space="4" w:color="auto"/>
        </w:pBdr>
        <w:ind w:left="720" w:hanging="720"/>
        <w:jc w:val="both"/>
      </w:pPr>
      <w:r w:rsidRPr="000E671F">
        <w:rPr>
          <w:sz w:val="22"/>
        </w:rPr>
        <w:t xml:space="preserve">Are </w:t>
      </w:r>
      <w:r w:rsidRPr="000E671F">
        <w:rPr>
          <w:sz w:val="22"/>
          <w:u w:val="single"/>
        </w:rPr>
        <w:t>library resources</w:t>
      </w:r>
      <w:r w:rsidRPr="000E671F">
        <w:rPr>
          <w:sz w:val="22"/>
        </w:rPr>
        <w:t xml:space="preserve"> adequate to support the program when fully implemented?  (Refer to Section #13.2). </w:t>
      </w:r>
    </w:p>
    <w:p w:rsidR="000E671F" w:rsidRPr="000E671F" w:rsidRDefault="00F83BF4" w:rsidP="000E671F">
      <w:pPr>
        <w:pStyle w:val="ListParagraph"/>
        <w:numPr>
          <w:ilvl w:val="0"/>
          <w:numId w:val="26"/>
        </w:numPr>
        <w:pBdr>
          <w:top w:val="single" w:sz="4" w:space="1" w:color="auto"/>
          <w:left w:val="single" w:sz="4" w:space="4" w:color="auto"/>
          <w:bottom w:val="single" w:sz="4" w:space="1" w:color="auto"/>
          <w:right w:val="single" w:sz="4" w:space="4" w:color="auto"/>
        </w:pBdr>
        <w:ind w:left="720" w:hanging="720"/>
        <w:jc w:val="both"/>
      </w:pPr>
      <w:r w:rsidRPr="000E671F">
        <w:rPr>
          <w:sz w:val="22"/>
        </w:rPr>
        <w:t xml:space="preserve">Are any sources of funding temporary (e.g., grant funding)?  If so, how will the program be sustained once these funds are exhausted? </w:t>
      </w:r>
    </w:p>
    <w:p w:rsidR="00F83BF4" w:rsidRDefault="00F83BF4" w:rsidP="000E671F">
      <w:pPr>
        <w:pStyle w:val="ListParagraph"/>
        <w:numPr>
          <w:ilvl w:val="0"/>
          <w:numId w:val="26"/>
        </w:numPr>
        <w:pBdr>
          <w:top w:val="single" w:sz="4" w:space="1" w:color="auto"/>
          <w:left w:val="single" w:sz="4" w:space="4" w:color="auto"/>
          <w:bottom w:val="single" w:sz="4" w:space="1" w:color="auto"/>
          <w:right w:val="single" w:sz="4" w:space="4" w:color="auto"/>
        </w:pBdr>
        <w:ind w:left="720" w:hanging="720"/>
        <w:jc w:val="both"/>
      </w:pPr>
      <w:r w:rsidRPr="00F83BF4">
        <w:t xml:space="preserve">If this is a graduate program, please discuss the intended use of graduate tuition waivers.  If the program is dependent on the availability of waivers, how will the unit compensate for lost tuition revenue? </w:t>
      </w:r>
    </w:p>
    <w:p w:rsidR="00F83BF4" w:rsidRDefault="00DA22D7" w:rsidP="000E671F">
      <w:pPr>
        <w:numPr>
          <w:ilvl w:val="0"/>
          <w:numId w:val="26"/>
        </w:numPr>
        <w:pBdr>
          <w:top w:val="single" w:sz="4" w:space="1" w:color="auto"/>
          <w:left w:val="single" w:sz="4" w:space="4" w:color="auto"/>
          <w:bottom w:val="single" w:sz="4" w:space="1" w:color="auto"/>
          <w:right w:val="single" w:sz="4" w:space="4" w:color="auto"/>
        </w:pBdr>
        <w:ind w:hanging="1080"/>
      </w:pPr>
      <w:r>
        <w:t>C</w:t>
      </w:r>
      <w:r w:rsidR="00F83BF4">
        <w:t xml:space="preserve">omplete the budget Table 2 </w:t>
      </w:r>
      <w:r>
        <w:t>below</w:t>
      </w:r>
    </w:p>
    <w:p w:rsidR="00505401" w:rsidRPr="009217A5" w:rsidRDefault="00505401" w:rsidP="00505401">
      <w:pPr>
        <w:jc w:val="both"/>
        <w:rPr>
          <w:sz w:val="22"/>
          <w:szCs w:val="22"/>
        </w:rPr>
      </w:pPr>
    </w:p>
    <w:p w:rsidR="00505401" w:rsidRPr="009217A5" w:rsidRDefault="00505401" w:rsidP="00505401">
      <w:pPr>
        <w:jc w:val="both"/>
        <w:rPr>
          <w:sz w:val="22"/>
          <w:szCs w:val="22"/>
        </w:rPr>
        <w:sectPr w:rsidR="00505401" w:rsidRPr="009217A5" w:rsidSect="004B06A0">
          <w:type w:val="continuous"/>
          <w:pgSz w:w="12240" w:h="15840"/>
          <w:pgMar w:top="1440" w:right="1800" w:bottom="1440" w:left="1800" w:header="720" w:footer="720" w:gutter="0"/>
          <w:cols w:space="720"/>
          <w:docGrid w:linePitch="360"/>
        </w:sectPr>
      </w:pPr>
    </w:p>
    <w:p w:rsidR="005A2F92" w:rsidRDefault="005A2F92" w:rsidP="005A2F92">
      <w:pPr>
        <w:jc w:val="both"/>
        <w:rPr>
          <w:sz w:val="22"/>
          <w:szCs w:val="22"/>
        </w:rPr>
      </w:pPr>
      <w:r>
        <w:rPr>
          <w:sz w:val="22"/>
          <w:szCs w:val="22"/>
        </w:rPr>
        <w:fldChar w:fldCharType="begin"/>
      </w:r>
      <w:r>
        <w:rPr>
          <w:sz w:val="22"/>
          <w:szCs w:val="22"/>
        </w:rPr>
        <w:instrText xml:space="preserve"> MACROBUTTON  AcceptAllChangesShown [TYPE YOUR ANSWER HERE. Provide complete responses, do not reference website links.] </w:instrText>
      </w:r>
      <w:r>
        <w:rPr>
          <w:sz w:val="22"/>
          <w:szCs w:val="22"/>
        </w:rPr>
        <w:fldChar w:fldCharType="end"/>
      </w:r>
    </w:p>
    <w:p w:rsidR="00DA22D7" w:rsidRDefault="00DA22D7" w:rsidP="005A2F92">
      <w:pPr>
        <w:jc w:val="both"/>
        <w:rPr>
          <w:sz w:val="22"/>
          <w:szCs w:val="22"/>
        </w:rPr>
      </w:pPr>
    </w:p>
    <w:tbl>
      <w:tblPr>
        <w:tblW w:w="8745" w:type="dxa"/>
        <w:tblInd w:w="93" w:type="dxa"/>
        <w:tblLook w:val="04A0" w:firstRow="1" w:lastRow="0" w:firstColumn="1" w:lastColumn="0" w:noHBand="0" w:noVBand="1"/>
      </w:tblPr>
      <w:tblGrid>
        <w:gridCol w:w="3255"/>
        <w:gridCol w:w="1980"/>
        <w:gridCol w:w="1620"/>
        <w:gridCol w:w="1890"/>
      </w:tblGrid>
      <w:tr w:rsidR="00DA22D7" w:rsidRPr="00DA22D7" w:rsidTr="00DA22D7">
        <w:trPr>
          <w:trHeight w:val="330"/>
        </w:trPr>
        <w:tc>
          <w:tcPr>
            <w:tcW w:w="8745" w:type="dxa"/>
            <w:gridSpan w:val="4"/>
            <w:tcBorders>
              <w:top w:val="single" w:sz="8" w:space="0" w:color="000000"/>
              <w:left w:val="single" w:sz="8" w:space="0" w:color="000000"/>
              <w:bottom w:val="single" w:sz="8" w:space="0" w:color="000000"/>
              <w:right w:val="single" w:sz="8" w:space="0" w:color="000000"/>
            </w:tcBorders>
            <w:shd w:val="clear" w:color="auto" w:fill="BFBFBF"/>
            <w:hideMark/>
          </w:tcPr>
          <w:p w:rsidR="00DA22D7" w:rsidRPr="00DA22D7" w:rsidRDefault="00DA22D7" w:rsidP="00DA22D7">
            <w:pPr>
              <w:jc w:val="center"/>
              <w:rPr>
                <w:b/>
                <w:bCs/>
                <w:color w:val="000000"/>
              </w:rPr>
            </w:pPr>
            <w:r w:rsidRPr="00DA22D7">
              <w:rPr>
                <w:b/>
                <w:bCs/>
                <w:color w:val="000000"/>
              </w:rPr>
              <w:t>ESTIMATED COSTS OF THE PROPOSED PROGRAM</w:t>
            </w:r>
          </w:p>
        </w:tc>
      </w:tr>
      <w:tr w:rsidR="00DA22D7" w:rsidRPr="00DA22D7" w:rsidTr="00DA22D7">
        <w:trPr>
          <w:trHeight w:val="375"/>
        </w:trPr>
        <w:tc>
          <w:tcPr>
            <w:tcW w:w="3255" w:type="dxa"/>
            <w:vMerge w:val="restart"/>
            <w:tcBorders>
              <w:top w:val="nil"/>
              <w:left w:val="single" w:sz="8" w:space="0" w:color="000000"/>
              <w:bottom w:val="single" w:sz="8" w:space="0" w:color="000000"/>
              <w:right w:val="single" w:sz="8" w:space="0" w:color="000000"/>
            </w:tcBorders>
            <w:shd w:val="clear" w:color="auto" w:fill="D9D9D9"/>
            <w:vAlign w:val="bottom"/>
            <w:hideMark/>
          </w:tcPr>
          <w:p w:rsidR="00DA22D7" w:rsidRPr="00DA22D7" w:rsidRDefault="00DA22D7" w:rsidP="00DA22D7">
            <w:pPr>
              <w:jc w:val="center"/>
              <w:rPr>
                <w:b/>
                <w:bCs/>
                <w:color w:val="000000"/>
              </w:rPr>
            </w:pPr>
            <w:r w:rsidRPr="00DA22D7">
              <w:rPr>
                <w:b/>
                <w:bCs/>
                <w:color w:val="000000"/>
              </w:rPr>
              <w:t>Category</w:t>
            </w:r>
          </w:p>
        </w:tc>
        <w:tc>
          <w:tcPr>
            <w:tcW w:w="1980" w:type="dxa"/>
            <w:vMerge w:val="restart"/>
            <w:tcBorders>
              <w:top w:val="nil"/>
              <w:left w:val="single" w:sz="8" w:space="0" w:color="000000"/>
              <w:bottom w:val="single" w:sz="8" w:space="0" w:color="000000"/>
              <w:right w:val="single" w:sz="8" w:space="0" w:color="000000"/>
            </w:tcBorders>
            <w:shd w:val="clear" w:color="auto" w:fill="D9D9D9"/>
            <w:vAlign w:val="bottom"/>
            <w:hideMark/>
          </w:tcPr>
          <w:p w:rsidR="00DA22D7" w:rsidRPr="00DA22D7" w:rsidRDefault="00DA22D7" w:rsidP="00DA22D7">
            <w:pPr>
              <w:jc w:val="center"/>
              <w:rPr>
                <w:b/>
                <w:bCs/>
                <w:color w:val="000000"/>
              </w:rPr>
            </w:pPr>
            <w:r w:rsidRPr="00DA22D7">
              <w:rPr>
                <w:b/>
                <w:bCs/>
                <w:color w:val="000000"/>
              </w:rPr>
              <w:t>Unit of Measurement</w:t>
            </w:r>
          </w:p>
        </w:tc>
        <w:tc>
          <w:tcPr>
            <w:tcW w:w="1620" w:type="dxa"/>
            <w:vMerge w:val="restart"/>
            <w:tcBorders>
              <w:top w:val="nil"/>
              <w:left w:val="single" w:sz="8" w:space="0" w:color="000000"/>
              <w:bottom w:val="single" w:sz="8" w:space="0" w:color="000000"/>
              <w:right w:val="single" w:sz="8" w:space="0" w:color="000000"/>
            </w:tcBorders>
            <w:shd w:val="clear" w:color="auto" w:fill="D9D9D9"/>
            <w:vAlign w:val="bottom"/>
            <w:hideMark/>
          </w:tcPr>
          <w:p w:rsidR="00DA22D7" w:rsidRPr="00DA22D7" w:rsidRDefault="00DA22D7" w:rsidP="00DA22D7">
            <w:pPr>
              <w:jc w:val="center"/>
              <w:rPr>
                <w:b/>
                <w:bCs/>
                <w:color w:val="000000"/>
              </w:rPr>
            </w:pPr>
            <w:r w:rsidRPr="00DA22D7">
              <w:rPr>
                <w:b/>
                <w:bCs/>
                <w:color w:val="000000"/>
              </w:rPr>
              <w:t>Year One</w:t>
            </w:r>
          </w:p>
        </w:tc>
        <w:tc>
          <w:tcPr>
            <w:tcW w:w="1890" w:type="dxa"/>
            <w:tcBorders>
              <w:top w:val="nil"/>
              <w:left w:val="nil"/>
              <w:bottom w:val="nil"/>
              <w:right w:val="single" w:sz="8" w:space="0" w:color="000000"/>
            </w:tcBorders>
            <w:shd w:val="clear" w:color="auto" w:fill="D9D9D9"/>
            <w:vAlign w:val="bottom"/>
            <w:hideMark/>
          </w:tcPr>
          <w:p w:rsidR="00DA22D7" w:rsidRPr="00DA22D7" w:rsidRDefault="00DA22D7" w:rsidP="00DA22D7">
            <w:pPr>
              <w:jc w:val="center"/>
              <w:rPr>
                <w:b/>
                <w:bCs/>
                <w:color w:val="000000"/>
              </w:rPr>
            </w:pPr>
            <w:r w:rsidRPr="00DA22D7">
              <w:rPr>
                <w:b/>
                <w:bCs/>
                <w:color w:val="000000"/>
              </w:rPr>
              <w:t>5</w:t>
            </w:r>
            <w:r w:rsidRPr="00DA22D7">
              <w:rPr>
                <w:b/>
                <w:bCs/>
                <w:color w:val="000000"/>
                <w:vertAlign w:val="superscript"/>
              </w:rPr>
              <w:t>th</w:t>
            </w:r>
            <w:r w:rsidRPr="00DA22D7">
              <w:rPr>
                <w:b/>
                <w:bCs/>
                <w:color w:val="000000"/>
              </w:rPr>
              <w:t xml:space="preserve"> Year</w:t>
            </w:r>
          </w:p>
        </w:tc>
      </w:tr>
      <w:tr w:rsidR="00DA22D7" w:rsidRPr="00DA22D7" w:rsidTr="00DA22D7">
        <w:trPr>
          <w:trHeight w:val="645"/>
        </w:trPr>
        <w:tc>
          <w:tcPr>
            <w:tcW w:w="3255" w:type="dxa"/>
            <w:vMerge/>
            <w:tcBorders>
              <w:top w:val="nil"/>
              <w:left w:val="single" w:sz="8" w:space="0" w:color="000000"/>
              <w:bottom w:val="single" w:sz="8" w:space="0" w:color="000000"/>
              <w:right w:val="single" w:sz="8" w:space="0" w:color="000000"/>
            </w:tcBorders>
            <w:shd w:val="clear" w:color="auto" w:fill="D9D9D9"/>
            <w:vAlign w:val="center"/>
            <w:hideMark/>
          </w:tcPr>
          <w:p w:rsidR="00DA22D7" w:rsidRPr="00DA22D7" w:rsidRDefault="00DA22D7" w:rsidP="00DA22D7">
            <w:pPr>
              <w:rPr>
                <w:b/>
                <w:bCs/>
                <w:color w:val="000000"/>
              </w:rPr>
            </w:pPr>
          </w:p>
        </w:tc>
        <w:tc>
          <w:tcPr>
            <w:tcW w:w="1980" w:type="dxa"/>
            <w:vMerge/>
            <w:tcBorders>
              <w:top w:val="nil"/>
              <w:left w:val="single" w:sz="8" w:space="0" w:color="000000"/>
              <w:bottom w:val="single" w:sz="8" w:space="0" w:color="000000"/>
              <w:right w:val="single" w:sz="8" w:space="0" w:color="000000"/>
            </w:tcBorders>
            <w:vAlign w:val="center"/>
            <w:hideMark/>
          </w:tcPr>
          <w:p w:rsidR="00DA22D7" w:rsidRPr="00DA22D7" w:rsidRDefault="00DA22D7" w:rsidP="00DA22D7">
            <w:pPr>
              <w:rPr>
                <w:b/>
                <w:bCs/>
                <w:color w:val="000000"/>
              </w:rPr>
            </w:pPr>
          </w:p>
        </w:tc>
        <w:tc>
          <w:tcPr>
            <w:tcW w:w="1620" w:type="dxa"/>
            <w:vMerge/>
            <w:tcBorders>
              <w:top w:val="nil"/>
              <w:left w:val="single" w:sz="8" w:space="0" w:color="000000"/>
              <w:bottom w:val="single" w:sz="8" w:space="0" w:color="000000"/>
              <w:right w:val="single" w:sz="8" w:space="0" w:color="000000"/>
            </w:tcBorders>
            <w:vAlign w:val="center"/>
            <w:hideMark/>
          </w:tcPr>
          <w:p w:rsidR="00DA22D7" w:rsidRPr="00DA22D7" w:rsidRDefault="00DA22D7" w:rsidP="00DA22D7">
            <w:pPr>
              <w:rPr>
                <w:b/>
                <w:bCs/>
                <w:color w:val="000000"/>
              </w:rPr>
            </w:pPr>
          </w:p>
        </w:tc>
        <w:tc>
          <w:tcPr>
            <w:tcW w:w="1890" w:type="dxa"/>
            <w:tcBorders>
              <w:top w:val="nil"/>
              <w:left w:val="nil"/>
              <w:bottom w:val="single" w:sz="8" w:space="0" w:color="000000"/>
              <w:right w:val="single" w:sz="8" w:space="0" w:color="000000"/>
            </w:tcBorders>
            <w:shd w:val="clear" w:color="auto" w:fill="auto"/>
            <w:vAlign w:val="bottom"/>
            <w:hideMark/>
          </w:tcPr>
          <w:p w:rsidR="00DA22D7" w:rsidRPr="00DA22D7" w:rsidRDefault="00DA22D7" w:rsidP="00DA22D7">
            <w:pPr>
              <w:jc w:val="center"/>
              <w:rPr>
                <w:b/>
                <w:bCs/>
                <w:color w:val="000000"/>
              </w:rPr>
            </w:pPr>
            <w:r w:rsidRPr="00DA22D7">
              <w:rPr>
                <w:b/>
                <w:bCs/>
                <w:color w:val="000000"/>
              </w:rPr>
              <w:t>(or when fully implemented)</w:t>
            </w:r>
          </w:p>
        </w:tc>
      </w:tr>
      <w:tr w:rsidR="00DA22D7" w:rsidRPr="00DA22D7" w:rsidTr="00DA22D7">
        <w:trPr>
          <w:trHeight w:val="330"/>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DA22D7" w:rsidRPr="00DA22D7" w:rsidRDefault="00DA22D7" w:rsidP="00DA22D7">
            <w:pPr>
              <w:rPr>
                <w:color w:val="000000"/>
              </w:rPr>
            </w:pPr>
            <w:r w:rsidRPr="00DA22D7">
              <w:rPr>
                <w:color w:val="000000"/>
              </w:rPr>
              <w:t>Personnel</w:t>
            </w:r>
          </w:p>
        </w:tc>
        <w:tc>
          <w:tcPr>
            <w:tcW w:w="162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89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r>
      <w:tr w:rsidR="00DA22D7" w:rsidRPr="00DA22D7" w:rsidTr="00DA22D7">
        <w:trPr>
          <w:trHeight w:val="330"/>
        </w:trPr>
        <w:tc>
          <w:tcPr>
            <w:tcW w:w="3255" w:type="dxa"/>
            <w:tcBorders>
              <w:top w:val="nil"/>
              <w:left w:val="single" w:sz="8" w:space="0" w:color="000000"/>
              <w:bottom w:val="single" w:sz="8" w:space="0" w:color="000000"/>
              <w:right w:val="single" w:sz="8" w:space="0" w:color="000000"/>
            </w:tcBorders>
            <w:shd w:val="clear" w:color="auto" w:fill="D9D9D9"/>
            <w:hideMark/>
          </w:tcPr>
          <w:p w:rsidR="00DA22D7" w:rsidRPr="00DA22D7" w:rsidRDefault="00DA22D7" w:rsidP="00DA22D7">
            <w:pPr>
              <w:rPr>
                <w:color w:val="000000"/>
              </w:rPr>
            </w:pPr>
            <w:r w:rsidRPr="00DA22D7">
              <w:rPr>
                <w:color w:val="000000"/>
              </w:rPr>
              <w:t>Faculty</w:t>
            </w:r>
          </w:p>
        </w:tc>
        <w:tc>
          <w:tcPr>
            <w:tcW w:w="198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FTE</w:t>
            </w:r>
          </w:p>
        </w:tc>
        <w:tc>
          <w:tcPr>
            <w:tcW w:w="162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89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r>
      <w:tr w:rsidR="00DA22D7" w:rsidRPr="00DA22D7" w:rsidTr="00DA22D7">
        <w:trPr>
          <w:trHeight w:val="330"/>
        </w:trPr>
        <w:tc>
          <w:tcPr>
            <w:tcW w:w="3255" w:type="dxa"/>
            <w:tcBorders>
              <w:top w:val="nil"/>
              <w:left w:val="single" w:sz="8" w:space="0" w:color="000000"/>
              <w:bottom w:val="single" w:sz="8" w:space="0" w:color="000000"/>
              <w:right w:val="single" w:sz="8" w:space="0" w:color="000000"/>
            </w:tcBorders>
            <w:shd w:val="clear" w:color="auto" w:fill="D9D9D9"/>
            <w:hideMark/>
          </w:tcPr>
          <w:p w:rsidR="00DA22D7" w:rsidRPr="00DA22D7" w:rsidRDefault="00DA22D7" w:rsidP="00DA22D7">
            <w:pPr>
              <w:rPr>
                <w:color w:val="000000"/>
              </w:rPr>
            </w:pPr>
            <w:r w:rsidRPr="00DA22D7">
              <w:rPr>
                <w:color w:val="000000"/>
              </w:rPr>
              <w:t>Faculty</w:t>
            </w:r>
          </w:p>
        </w:tc>
        <w:tc>
          <w:tcPr>
            <w:tcW w:w="198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62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89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r>
      <w:tr w:rsidR="00DA22D7" w:rsidRPr="00DA22D7" w:rsidTr="00DA22D7">
        <w:trPr>
          <w:trHeight w:val="330"/>
        </w:trPr>
        <w:tc>
          <w:tcPr>
            <w:tcW w:w="3255" w:type="dxa"/>
            <w:tcBorders>
              <w:top w:val="nil"/>
              <w:left w:val="single" w:sz="8" w:space="0" w:color="000000"/>
              <w:bottom w:val="single" w:sz="8" w:space="0" w:color="000000"/>
              <w:right w:val="single" w:sz="8" w:space="0" w:color="000000"/>
            </w:tcBorders>
            <w:shd w:val="clear" w:color="auto" w:fill="D9D9D9"/>
            <w:hideMark/>
          </w:tcPr>
          <w:p w:rsidR="00DA22D7" w:rsidRPr="00DA22D7" w:rsidRDefault="00DA22D7" w:rsidP="00DA22D7">
            <w:pPr>
              <w:rPr>
                <w:color w:val="000000"/>
              </w:rPr>
            </w:pPr>
            <w:r w:rsidRPr="00DA22D7">
              <w:rPr>
                <w:color w:val="000000"/>
              </w:rPr>
              <w:lastRenderedPageBreak/>
              <w:t>Other Personnel Costs</w:t>
            </w:r>
          </w:p>
        </w:tc>
        <w:tc>
          <w:tcPr>
            <w:tcW w:w="198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62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89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r>
      <w:tr w:rsidR="00DA22D7" w:rsidRPr="00DA22D7" w:rsidTr="00DA22D7">
        <w:trPr>
          <w:trHeight w:val="390"/>
        </w:trPr>
        <w:tc>
          <w:tcPr>
            <w:tcW w:w="3255" w:type="dxa"/>
            <w:tcBorders>
              <w:top w:val="nil"/>
              <w:left w:val="single" w:sz="8" w:space="0" w:color="000000"/>
              <w:bottom w:val="single" w:sz="8" w:space="0" w:color="000000"/>
              <w:right w:val="single" w:sz="8" w:space="0" w:color="000000"/>
            </w:tcBorders>
            <w:shd w:val="clear" w:color="auto" w:fill="D9D9D9"/>
            <w:hideMark/>
          </w:tcPr>
          <w:p w:rsidR="00DA22D7" w:rsidRPr="00DA22D7" w:rsidRDefault="00DA22D7" w:rsidP="00DA22D7">
            <w:pPr>
              <w:rPr>
                <w:color w:val="000000"/>
              </w:rPr>
            </w:pPr>
            <w:r w:rsidRPr="00DA22D7">
              <w:rPr>
                <w:color w:val="000000"/>
              </w:rPr>
              <w:t>Supplies, Services, Equipment</w:t>
            </w:r>
            <w:r w:rsidRPr="00DA22D7">
              <w:rPr>
                <w:color w:val="000000"/>
                <w:vertAlign w:val="superscript"/>
              </w:rPr>
              <w:t>1</w:t>
            </w:r>
          </w:p>
        </w:tc>
        <w:tc>
          <w:tcPr>
            <w:tcW w:w="198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62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89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r>
      <w:tr w:rsidR="00DA22D7" w:rsidRPr="00DA22D7" w:rsidTr="00DA22D7">
        <w:trPr>
          <w:trHeight w:val="330"/>
        </w:trPr>
        <w:tc>
          <w:tcPr>
            <w:tcW w:w="3255" w:type="dxa"/>
            <w:tcBorders>
              <w:top w:val="nil"/>
              <w:left w:val="single" w:sz="8" w:space="0" w:color="000000"/>
              <w:bottom w:val="single" w:sz="8" w:space="0" w:color="000000"/>
              <w:right w:val="single" w:sz="8" w:space="0" w:color="000000"/>
            </w:tcBorders>
            <w:shd w:val="clear" w:color="auto" w:fill="D9D9D9"/>
            <w:hideMark/>
          </w:tcPr>
          <w:p w:rsidR="00DA22D7" w:rsidRPr="00DA22D7" w:rsidRDefault="00DA22D7" w:rsidP="00DA22D7">
            <w:pPr>
              <w:rPr>
                <w:color w:val="000000"/>
              </w:rPr>
            </w:pPr>
            <w:r w:rsidRPr="00DA22D7">
              <w:rPr>
                <w:color w:val="000000"/>
              </w:rPr>
              <w:t>Facility Costs (e.g., rental, maintenance)</w:t>
            </w:r>
          </w:p>
        </w:tc>
        <w:tc>
          <w:tcPr>
            <w:tcW w:w="198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62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89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r>
      <w:tr w:rsidR="00DA22D7" w:rsidRPr="00DA22D7" w:rsidTr="00DA22D7">
        <w:trPr>
          <w:trHeight w:val="330"/>
        </w:trPr>
        <w:tc>
          <w:tcPr>
            <w:tcW w:w="3255" w:type="dxa"/>
            <w:tcBorders>
              <w:top w:val="nil"/>
              <w:left w:val="single" w:sz="8" w:space="0" w:color="000000"/>
              <w:bottom w:val="single" w:sz="8" w:space="0" w:color="000000"/>
              <w:right w:val="single" w:sz="8" w:space="0" w:color="000000"/>
            </w:tcBorders>
            <w:shd w:val="clear" w:color="auto" w:fill="D9D9D9"/>
            <w:hideMark/>
          </w:tcPr>
          <w:p w:rsidR="00DA22D7" w:rsidRPr="00DA22D7" w:rsidRDefault="00DA22D7" w:rsidP="00DA22D7">
            <w:pPr>
              <w:rPr>
                <w:color w:val="000000"/>
              </w:rPr>
            </w:pPr>
            <w:r w:rsidRPr="00DA22D7">
              <w:rPr>
                <w:color w:val="000000"/>
              </w:rPr>
              <w:t>Other Costs (itemized):</w:t>
            </w:r>
          </w:p>
        </w:tc>
        <w:tc>
          <w:tcPr>
            <w:tcW w:w="198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 </w:t>
            </w:r>
          </w:p>
        </w:tc>
        <w:tc>
          <w:tcPr>
            <w:tcW w:w="162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 </w:t>
            </w:r>
          </w:p>
        </w:tc>
        <w:tc>
          <w:tcPr>
            <w:tcW w:w="189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r>
      <w:tr w:rsidR="00DA22D7" w:rsidRPr="00DA22D7" w:rsidTr="00DA22D7">
        <w:trPr>
          <w:trHeight w:val="330"/>
        </w:trPr>
        <w:tc>
          <w:tcPr>
            <w:tcW w:w="3255" w:type="dxa"/>
            <w:tcBorders>
              <w:top w:val="nil"/>
              <w:left w:val="single" w:sz="8" w:space="0" w:color="000000"/>
              <w:bottom w:val="single" w:sz="8" w:space="0" w:color="000000"/>
              <w:right w:val="single" w:sz="8" w:space="0" w:color="000000"/>
            </w:tcBorders>
            <w:shd w:val="clear" w:color="auto" w:fill="D9D9D9"/>
            <w:hideMark/>
          </w:tcPr>
          <w:p w:rsidR="00DA22D7" w:rsidRPr="00DA22D7" w:rsidRDefault="00DA22D7" w:rsidP="00DA22D7">
            <w:pPr>
              <w:ind w:firstLineChars="400" w:firstLine="960"/>
              <w:rPr>
                <w:rFonts w:ascii="Symbol" w:hAnsi="Symbol"/>
                <w:color w:val="000000"/>
              </w:rPr>
            </w:pPr>
            <w:r w:rsidRPr="00DA22D7">
              <w:rPr>
                <w:rFonts w:ascii="Symbol" w:eastAsia="Symbol" w:hAnsi="Symbol" w:cs="Symbol"/>
                <w:color w:val="000000"/>
              </w:rPr>
              <w:t></w:t>
            </w:r>
            <w:r w:rsidRPr="00DA22D7">
              <w:rPr>
                <w:rFonts w:eastAsia="Symbol"/>
                <w:color w:val="000000"/>
                <w:sz w:val="14"/>
                <w:szCs w:val="14"/>
              </w:rPr>
              <w:t xml:space="preserve">         </w:t>
            </w:r>
            <w:r w:rsidRPr="00DA22D7">
              <w:rPr>
                <w:rFonts w:eastAsia="Symbol"/>
                <w:color w:val="000000"/>
              </w:rPr>
              <w:t> </w:t>
            </w:r>
          </w:p>
        </w:tc>
        <w:tc>
          <w:tcPr>
            <w:tcW w:w="198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62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89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r>
      <w:tr w:rsidR="00DA22D7" w:rsidRPr="00DA22D7" w:rsidTr="00DA22D7">
        <w:trPr>
          <w:trHeight w:val="330"/>
        </w:trPr>
        <w:tc>
          <w:tcPr>
            <w:tcW w:w="3255" w:type="dxa"/>
            <w:tcBorders>
              <w:top w:val="nil"/>
              <w:left w:val="single" w:sz="8" w:space="0" w:color="000000"/>
              <w:bottom w:val="single" w:sz="8" w:space="0" w:color="000000"/>
              <w:right w:val="single" w:sz="8" w:space="0" w:color="000000"/>
            </w:tcBorders>
            <w:shd w:val="clear" w:color="auto" w:fill="D9D9D9"/>
            <w:hideMark/>
          </w:tcPr>
          <w:p w:rsidR="00DA22D7" w:rsidRPr="00DA22D7" w:rsidRDefault="00DA22D7" w:rsidP="00DA22D7">
            <w:pPr>
              <w:ind w:firstLineChars="400" w:firstLine="960"/>
              <w:rPr>
                <w:rFonts w:ascii="Symbol" w:hAnsi="Symbol"/>
                <w:color w:val="000000"/>
              </w:rPr>
            </w:pPr>
            <w:r w:rsidRPr="00DA22D7">
              <w:rPr>
                <w:rFonts w:ascii="Symbol" w:eastAsia="Symbol" w:hAnsi="Symbol" w:cs="Symbol"/>
                <w:color w:val="000000"/>
              </w:rPr>
              <w:t></w:t>
            </w:r>
            <w:r w:rsidRPr="00DA22D7">
              <w:rPr>
                <w:rFonts w:eastAsia="Symbol"/>
                <w:color w:val="000000"/>
                <w:sz w:val="14"/>
                <w:szCs w:val="14"/>
              </w:rPr>
              <w:t xml:space="preserve">         </w:t>
            </w:r>
            <w:r w:rsidRPr="00DA22D7">
              <w:rPr>
                <w:rFonts w:eastAsia="Symbol"/>
                <w:color w:val="000000"/>
              </w:rPr>
              <w:t> </w:t>
            </w:r>
          </w:p>
        </w:tc>
        <w:tc>
          <w:tcPr>
            <w:tcW w:w="198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62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89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r>
      <w:tr w:rsidR="00DA22D7" w:rsidRPr="00DA22D7" w:rsidTr="00DA22D7">
        <w:trPr>
          <w:trHeight w:val="330"/>
        </w:trPr>
        <w:tc>
          <w:tcPr>
            <w:tcW w:w="3255" w:type="dxa"/>
            <w:tcBorders>
              <w:top w:val="nil"/>
              <w:left w:val="single" w:sz="8" w:space="0" w:color="000000"/>
              <w:bottom w:val="single" w:sz="8" w:space="0" w:color="000000"/>
              <w:right w:val="single" w:sz="8" w:space="0" w:color="000000"/>
            </w:tcBorders>
            <w:shd w:val="clear" w:color="auto" w:fill="D9D9D9"/>
            <w:hideMark/>
          </w:tcPr>
          <w:p w:rsidR="00DA22D7" w:rsidRPr="00DA22D7" w:rsidRDefault="00DA22D7" w:rsidP="00DA22D7">
            <w:pPr>
              <w:ind w:firstLineChars="400" w:firstLine="960"/>
              <w:rPr>
                <w:rFonts w:ascii="Symbol" w:hAnsi="Symbol"/>
                <w:color w:val="000000"/>
              </w:rPr>
            </w:pPr>
            <w:r w:rsidRPr="00DA22D7">
              <w:rPr>
                <w:rFonts w:ascii="Symbol" w:eastAsia="Symbol" w:hAnsi="Symbol" w:cs="Symbol"/>
                <w:color w:val="000000"/>
              </w:rPr>
              <w:t></w:t>
            </w:r>
            <w:r w:rsidRPr="00DA22D7">
              <w:rPr>
                <w:rFonts w:eastAsia="Symbol"/>
                <w:color w:val="000000"/>
                <w:sz w:val="14"/>
                <w:szCs w:val="14"/>
              </w:rPr>
              <w:t xml:space="preserve">         </w:t>
            </w:r>
            <w:r w:rsidRPr="00DA22D7">
              <w:rPr>
                <w:rFonts w:eastAsia="Symbol"/>
                <w:color w:val="000000"/>
              </w:rPr>
              <w:t> </w:t>
            </w:r>
          </w:p>
        </w:tc>
        <w:tc>
          <w:tcPr>
            <w:tcW w:w="198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62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c>
          <w:tcPr>
            <w:tcW w:w="189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color w:val="000000"/>
              </w:rPr>
            </w:pPr>
            <w:r w:rsidRPr="00DA22D7">
              <w:rPr>
                <w:color w:val="000000"/>
              </w:rPr>
              <w:t>$</w:t>
            </w:r>
          </w:p>
        </w:tc>
      </w:tr>
      <w:tr w:rsidR="00DA22D7" w:rsidRPr="00DA22D7" w:rsidTr="00DA22D7">
        <w:trPr>
          <w:trHeight w:val="330"/>
        </w:trPr>
        <w:tc>
          <w:tcPr>
            <w:tcW w:w="3255" w:type="dxa"/>
            <w:tcBorders>
              <w:top w:val="nil"/>
              <w:left w:val="single" w:sz="8" w:space="0" w:color="000000"/>
              <w:bottom w:val="single" w:sz="8" w:space="0" w:color="000000"/>
              <w:right w:val="single" w:sz="8" w:space="0" w:color="000000"/>
            </w:tcBorders>
            <w:shd w:val="clear" w:color="auto" w:fill="D9D9D9"/>
            <w:hideMark/>
          </w:tcPr>
          <w:p w:rsidR="00DA22D7" w:rsidRPr="00DA22D7" w:rsidRDefault="00DA22D7" w:rsidP="00DA22D7">
            <w:pPr>
              <w:rPr>
                <w:b/>
                <w:bCs/>
                <w:color w:val="000000"/>
              </w:rPr>
            </w:pPr>
            <w:r w:rsidRPr="00DA22D7">
              <w:rPr>
                <w:b/>
                <w:bCs/>
                <w:color w:val="000000"/>
              </w:rPr>
              <w:t>Total</w:t>
            </w:r>
          </w:p>
        </w:tc>
        <w:tc>
          <w:tcPr>
            <w:tcW w:w="198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b/>
                <w:bCs/>
                <w:color w:val="000000"/>
              </w:rPr>
            </w:pPr>
            <w:r w:rsidRPr="00DA22D7">
              <w:rPr>
                <w:b/>
                <w:bCs/>
                <w:color w:val="000000"/>
              </w:rPr>
              <w:t>$</w:t>
            </w:r>
          </w:p>
        </w:tc>
        <w:tc>
          <w:tcPr>
            <w:tcW w:w="162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b/>
                <w:bCs/>
                <w:color w:val="000000"/>
              </w:rPr>
            </w:pPr>
            <w:r w:rsidRPr="00DA22D7">
              <w:rPr>
                <w:b/>
                <w:bCs/>
                <w:color w:val="000000"/>
              </w:rPr>
              <w:t>$</w:t>
            </w:r>
          </w:p>
        </w:tc>
        <w:tc>
          <w:tcPr>
            <w:tcW w:w="1890" w:type="dxa"/>
            <w:tcBorders>
              <w:top w:val="nil"/>
              <w:left w:val="nil"/>
              <w:bottom w:val="single" w:sz="8" w:space="0" w:color="000000"/>
              <w:right w:val="single" w:sz="8" w:space="0" w:color="000000"/>
            </w:tcBorders>
            <w:shd w:val="clear" w:color="auto" w:fill="auto"/>
            <w:hideMark/>
          </w:tcPr>
          <w:p w:rsidR="00DA22D7" w:rsidRPr="00DA22D7" w:rsidRDefault="00DA22D7" w:rsidP="00DA22D7">
            <w:pPr>
              <w:jc w:val="center"/>
              <w:rPr>
                <w:b/>
                <w:bCs/>
                <w:color w:val="000000"/>
              </w:rPr>
            </w:pPr>
            <w:r w:rsidRPr="00DA22D7">
              <w:rPr>
                <w:b/>
                <w:bCs/>
                <w:color w:val="000000"/>
              </w:rPr>
              <w:t>$</w:t>
            </w:r>
          </w:p>
        </w:tc>
      </w:tr>
    </w:tbl>
    <w:p w:rsidR="00DA22D7" w:rsidRDefault="00DA22D7" w:rsidP="005A2F92">
      <w:pPr>
        <w:jc w:val="both"/>
        <w:rPr>
          <w:sz w:val="22"/>
          <w:szCs w:val="22"/>
        </w:rPr>
      </w:pPr>
    </w:p>
    <w:p w:rsidR="00505401" w:rsidRPr="009217A5" w:rsidRDefault="00505401" w:rsidP="00505401">
      <w:pPr>
        <w:jc w:val="both"/>
        <w:rPr>
          <w:sz w:val="22"/>
          <w:szCs w:val="22"/>
        </w:rPr>
      </w:pPr>
    </w:p>
    <w:p w:rsidR="00505401" w:rsidRPr="009217A5" w:rsidRDefault="00505401" w:rsidP="00505401">
      <w:pPr>
        <w:jc w:val="both"/>
        <w:rPr>
          <w:sz w:val="22"/>
          <w:szCs w:val="22"/>
        </w:rPr>
        <w:sectPr w:rsidR="00505401" w:rsidRPr="009217A5" w:rsidSect="004B06A0">
          <w:type w:val="continuous"/>
          <w:pgSz w:w="12240" w:h="15840"/>
          <w:pgMar w:top="1440" w:right="1800" w:bottom="1440" w:left="1800" w:header="720" w:footer="720" w:gutter="0"/>
          <w:cols w:space="720"/>
          <w:formProt w:val="0"/>
          <w:docGrid w:linePitch="360"/>
        </w:sectPr>
      </w:pPr>
    </w:p>
    <w:p w:rsidR="0070460E" w:rsidRPr="00C13099" w:rsidRDefault="0070460E" w:rsidP="00B975B7">
      <w:pPr>
        <w:jc w:val="both"/>
      </w:pPr>
    </w:p>
    <w:sectPr w:rsidR="0070460E" w:rsidRPr="00C13099" w:rsidSect="004B06A0">
      <w:headerReference w:type="default" r:id="rId10"/>
      <w:footerReference w:type="default" r:id="rId1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0FA1" w:rsidRDefault="00620FA1">
      <w:r>
        <w:separator/>
      </w:r>
    </w:p>
  </w:endnote>
  <w:endnote w:type="continuationSeparator" w:id="0">
    <w:p w:rsidR="00620FA1" w:rsidRDefault="0062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AA5" w:rsidRDefault="00AD2AA5" w:rsidP="007B6517">
    <w:pPr>
      <w:pStyle w:val="Footer"/>
      <w:pBdr>
        <w:top w:val="single" w:sz="4" w:space="1" w:color="auto"/>
      </w:pBdr>
      <w:jc w:val="right"/>
    </w:pPr>
    <w:r>
      <w:rPr>
        <w:szCs w:val="22"/>
      </w:rPr>
      <w:t xml:space="preserve">Part </w:t>
    </w:r>
    <w:r w:rsidR="00B975B7">
      <w:rPr>
        <w:szCs w:val="22"/>
      </w:rPr>
      <w:t>4</w:t>
    </w:r>
    <w:r>
      <w:t xml:space="preserve"> [Page </w:t>
    </w:r>
    <w:r>
      <w:fldChar w:fldCharType="begin"/>
    </w:r>
    <w:r>
      <w:instrText xml:space="preserve"> PAGE </w:instrText>
    </w:r>
    <w:r>
      <w:fldChar w:fldCharType="separate"/>
    </w:r>
    <w:r w:rsidR="00B57EC4">
      <w:rPr>
        <w:noProof/>
      </w:rPr>
      <w:t>1</w:t>
    </w:r>
    <w:r>
      <w:fldChar w:fldCharType="end"/>
    </w:r>
    <w:r>
      <w:t xml:space="preserve"> of </w:t>
    </w:r>
    <w:fldSimple w:instr=" NUMPAGES ">
      <w:r w:rsidR="00B57EC4">
        <w:rPr>
          <w:noProof/>
        </w:rP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AA5" w:rsidRDefault="00AD2AA5" w:rsidP="00286F8B">
    <w:pPr>
      <w:pStyle w:val="Footer"/>
      <w:pBdr>
        <w:top w:val="single" w:sz="4" w:space="1" w:color="auto"/>
      </w:pBdr>
      <w:jc w:val="right"/>
    </w:pPr>
    <w:r>
      <w:rPr>
        <w:szCs w:val="22"/>
      </w:rPr>
      <w:t>Part 5 [</w:t>
    </w:r>
    <w:r>
      <w:t xml:space="preserve">Page </w:t>
    </w:r>
    <w:r>
      <w:fldChar w:fldCharType="begin"/>
    </w:r>
    <w:r>
      <w:instrText xml:space="preserve"> PAGE </w:instrText>
    </w:r>
    <w:r>
      <w:fldChar w:fldCharType="separate"/>
    </w:r>
    <w:r w:rsidR="00FE6644">
      <w:rPr>
        <w:noProof/>
      </w:rPr>
      <w:t>10</w:t>
    </w:r>
    <w:r>
      <w:fldChar w:fldCharType="end"/>
    </w:r>
    <w:r>
      <w:t xml:space="preserve"> of </w:t>
    </w:r>
    <w:fldSimple w:instr=" NUMPAGES ">
      <w:r w:rsidR="00FE6644">
        <w:rPr>
          <w:noProof/>
        </w:rPr>
        <w:t>10</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0FA1" w:rsidRDefault="00620FA1">
      <w:r>
        <w:separator/>
      </w:r>
    </w:p>
  </w:footnote>
  <w:footnote w:type="continuationSeparator" w:id="0">
    <w:p w:rsidR="00620FA1" w:rsidRDefault="0062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5B7" w:rsidRPr="00E57832" w:rsidRDefault="00B975B7" w:rsidP="00B975B7">
    <w:pPr>
      <w:pStyle w:val="Header"/>
      <w:pBdr>
        <w:bottom w:val="single" w:sz="4" w:space="1" w:color="auto"/>
      </w:pBdr>
      <w:jc w:val="center"/>
      <w:rPr>
        <w:sz w:val="22"/>
        <w:szCs w:val="22"/>
      </w:rPr>
    </w:pPr>
    <w:r w:rsidRPr="00E57832">
      <w:rPr>
        <w:sz w:val="22"/>
        <w:szCs w:val="22"/>
      </w:rPr>
      <w:t>Public Universities’ In-Region New Degree Program Application</w:t>
    </w:r>
    <w:r>
      <w:rPr>
        <w:sz w:val="22"/>
        <w:szCs w:val="22"/>
      </w:rPr>
      <w:t xml:space="preserve"> </w:t>
    </w:r>
    <w:r>
      <w:rPr>
        <w:sz w:val="22"/>
        <w:szCs w:val="22"/>
      </w:rPr>
      <w:br/>
    </w:r>
    <w:r w:rsidRPr="00E57832">
      <w:rPr>
        <w:sz w:val="22"/>
        <w:szCs w:val="22"/>
      </w:rPr>
      <w:t>to the Illinois Board of Higher Education (IBHE)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AA5" w:rsidRPr="00924FF3" w:rsidRDefault="00AD2AA5" w:rsidP="00286F8B">
    <w:pPr>
      <w:pStyle w:val="Header"/>
      <w:pBdr>
        <w:bottom w:val="single" w:sz="4" w:space="1" w:color="auto"/>
      </w:pBdr>
      <w:rPr>
        <w:sz w:val="22"/>
        <w:szCs w:val="22"/>
      </w:rPr>
    </w:pPr>
    <w:r w:rsidRPr="00924FF3">
      <w:rPr>
        <w:sz w:val="22"/>
        <w:szCs w:val="22"/>
      </w:rPr>
      <w:t xml:space="preserve">Public Degree Program </w:t>
    </w:r>
    <w:r>
      <w:rPr>
        <w:sz w:val="22"/>
        <w:szCs w:val="22"/>
      </w:rPr>
      <w:t>In-Region</w:t>
    </w:r>
    <w:r w:rsidRPr="00924FF3">
      <w:rPr>
        <w:sz w:val="22"/>
        <w:szCs w:val="22"/>
      </w:rPr>
      <w:t xml:space="preserve">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3B94"/>
    <w:multiLevelType w:val="hybridMultilevel"/>
    <w:tmpl w:val="AE0223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E201A0C"/>
    <w:multiLevelType w:val="hybridMultilevel"/>
    <w:tmpl w:val="F260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07755"/>
    <w:multiLevelType w:val="hybridMultilevel"/>
    <w:tmpl w:val="FDDA1B66"/>
    <w:lvl w:ilvl="0" w:tplc="C52EF60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3707B"/>
    <w:multiLevelType w:val="hybridMultilevel"/>
    <w:tmpl w:val="99B08774"/>
    <w:lvl w:ilvl="0" w:tplc="04090011">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44C60BB"/>
    <w:multiLevelType w:val="hybridMultilevel"/>
    <w:tmpl w:val="75B63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1D67C0"/>
    <w:multiLevelType w:val="hybridMultilevel"/>
    <w:tmpl w:val="1928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11871"/>
    <w:multiLevelType w:val="hybridMultilevel"/>
    <w:tmpl w:val="9608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8494F"/>
    <w:multiLevelType w:val="hybridMultilevel"/>
    <w:tmpl w:val="5B02DB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BD2EBE"/>
    <w:multiLevelType w:val="hybridMultilevel"/>
    <w:tmpl w:val="C87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73CA4"/>
    <w:multiLevelType w:val="hybridMultilevel"/>
    <w:tmpl w:val="4E8E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E34FA"/>
    <w:multiLevelType w:val="hybridMultilevel"/>
    <w:tmpl w:val="487C1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4297F"/>
    <w:multiLevelType w:val="hybridMultilevel"/>
    <w:tmpl w:val="4ED2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15F93"/>
    <w:multiLevelType w:val="hybridMultilevel"/>
    <w:tmpl w:val="D140F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984679B"/>
    <w:multiLevelType w:val="hybridMultilevel"/>
    <w:tmpl w:val="B030A8F4"/>
    <w:lvl w:ilvl="0" w:tplc="3BD25216">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A3491"/>
    <w:multiLevelType w:val="hybridMultilevel"/>
    <w:tmpl w:val="C848F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22C3B"/>
    <w:multiLevelType w:val="hybridMultilevel"/>
    <w:tmpl w:val="40FE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56B31"/>
    <w:multiLevelType w:val="hybridMultilevel"/>
    <w:tmpl w:val="6972CA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1FD65BA"/>
    <w:multiLevelType w:val="hybridMultilevel"/>
    <w:tmpl w:val="DCA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9357E"/>
    <w:multiLevelType w:val="hybridMultilevel"/>
    <w:tmpl w:val="6BF8775C"/>
    <w:lvl w:ilvl="0" w:tplc="48043526">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7838C5"/>
    <w:multiLevelType w:val="hybridMultilevel"/>
    <w:tmpl w:val="6C209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ABB4E9A"/>
    <w:multiLevelType w:val="hybridMultilevel"/>
    <w:tmpl w:val="9E62A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C29F8"/>
    <w:multiLevelType w:val="hybridMultilevel"/>
    <w:tmpl w:val="3D6016A8"/>
    <w:lvl w:ilvl="0" w:tplc="960CB8C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20DFC"/>
    <w:multiLevelType w:val="hybridMultilevel"/>
    <w:tmpl w:val="5056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C5A6E"/>
    <w:multiLevelType w:val="hybridMultilevel"/>
    <w:tmpl w:val="E81E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47079"/>
    <w:multiLevelType w:val="hybridMultilevel"/>
    <w:tmpl w:val="F2987AB6"/>
    <w:lvl w:ilvl="0" w:tplc="24D2EB9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315FCC"/>
    <w:multiLevelType w:val="hybridMultilevel"/>
    <w:tmpl w:val="E250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112975">
    <w:abstractNumId w:val="0"/>
  </w:num>
  <w:num w:numId="2" w16cid:durableId="592250249">
    <w:abstractNumId w:val="4"/>
  </w:num>
  <w:num w:numId="3" w16cid:durableId="402214535">
    <w:abstractNumId w:val="3"/>
  </w:num>
  <w:num w:numId="4" w16cid:durableId="1167941144">
    <w:abstractNumId w:val="13"/>
  </w:num>
  <w:num w:numId="5" w16cid:durableId="2440115">
    <w:abstractNumId w:val="1"/>
  </w:num>
  <w:num w:numId="6" w16cid:durableId="1870945173">
    <w:abstractNumId w:val="14"/>
  </w:num>
  <w:num w:numId="7" w16cid:durableId="632566007">
    <w:abstractNumId w:val="17"/>
  </w:num>
  <w:num w:numId="8" w16cid:durableId="591667337">
    <w:abstractNumId w:val="16"/>
  </w:num>
  <w:num w:numId="9" w16cid:durableId="1380738936">
    <w:abstractNumId w:val="2"/>
  </w:num>
  <w:num w:numId="10" w16cid:durableId="563835881">
    <w:abstractNumId w:val="20"/>
  </w:num>
  <w:num w:numId="11" w16cid:durableId="271667539">
    <w:abstractNumId w:val="18"/>
  </w:num>
  <w:num w:numId="12" w16cid:durableId="505561946">
    <w:abstractNumId w:val="10"/>
  </w:num>
  <w:num w:numId="13" w16cid:durableId="312873022">
    <w:abstractNumId w:val="5"/>
  </w:num>
  <w:num w:numId="14" w16cid:durableId="1461920988">
    <w:abstractNumId w:val="11"/>
  </w:num>
  <w:num w:numId="15" w16cid:durableId="1183010968">
    <w:abstractNumId w:val="9"/>
  </w:num>
  <w:num w:numId="16" w16cid:durableId="473721203">
    <w:abstractNumId w:val="15"/>
  </w:num>
  <w:num w:numId="17" w16cid:durableId="717316882">
    <w:abstractNumId w:val="22"/>
  </w:num>
  <w:num w:numId="18" w16cid:durableId="2077706291">
    <w:abstractNumId w:val="25"/>
  </w:num>
  <w:num w:numId="19" w16cid:durableId="303782941">
    <w:abstractNumId w:val="6"/>
  </w:num>
  <w:num w:numId="20" w16cid:durableId="425226499">
    <w:abstractNumId w:val="19"/>
  </w:num>
  <w:num w:numId="21" w16cid:durableId="1601797314">
    <w:abstractNumId w:val="8"/>
  </w:num>
  <w:num w:numId="22" w16cid:durableId="1797720544">
    <w:abstractNumId w:val="12"/>
  </w:num>
  <w:num w:numId="23" w16cid:durableId="38209325">
    <w:abstractNumId w:val="21"/>
  </w:num>
  <w:num w:numId="24" w16cid:durableId="196047375">
    <w:abstractNumId w:val="24"/>
  </w:num>
  <w:num w:numId="25" w16cid:durableId="126945110">
    <w:abstractNumId w:val="23"/>
  </w:num>
  <w:num w:numId="26" w16cid:durableId="455565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s+GemAJzkbqgueo+BPIgwJYutjXCqf1EK8XZapBvr556pbw7hsOypIusNNALTiOrK0u26Oc9rst0jLS3mEAQ==" w:salt="JgRdZvRYzzBctAX4foAv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12"/>
    <w:rsid w:val="00013786"/>
    <w:rsid w:val="00027CB3"/>
    <w:rsid w:val="000329F5"/>
    <w:rsid w:val="00033051"/>
    <w:rsid w:val="000566E1"/>
    <w:rsid w:val="00057375"/>
    <w:rsid w:val="00064DB5"/>
    <w:rsid w:val="00070BCB"/>
    <w:rsid w:val="0007364C"/>
    <w:rsid w:val="00075E8C"/>
    <w:rsid w:val="00080908"/>
    <w:rsid w:val="000851B3"/>
    <w:rsid w:val="00086751"/>
    <w:rsid w:val="0008723D"/>
    <w:rsid w:val="000A041E"/>
    <w:rsid w:val="000B52A8"/>
    <w:rsid w:val="000B712E"/>
    <w:rsid w:val="000B793E"/>
    <w:rsid w:val="000E671F"/>
    <w:rsid w:val="000F1AF0"/>
    <w:rsid w:val="000F3390"/>
    <w:rsid w:val="00112B28"/>
    <w:rsid w:val="00155677"/>
    <w:rsid w:val="0015761E"/>
    <w:rsid w:val="00171093"/>
    <w:rsid w:val="0018330D"/>
    <w:rsid w:val="001A2144"/>
    <w:rsid w:val="001A7998"/>
    <w:rsid w:val="001D1DE1"/>
    <w:rsid w:val="001D661F"/>
    <w:rsid w:val="001E020B"/>
    <w:rsid w:val="001E0286"/>
    <w:rsid w:val="001E6306"/>
    <w:rsid w:val="001E6E46"/>
    <w:rsid w:val="001F30B4"/>
    <w:rsid w:val="00204560"/>
    <w:rsid w:val="00213EE3"/>
    <w:rsid w:val="00241887"/>
    <w:rsid w:val="00252E12"/>
    <w:rsid w:val="00253DFD"/>
    <w:rsid w:val="0026476E"/>
    <w:rsid w:val="00265260"/>
    <w:rsid w:val="00275F9E"/>
    <w:rsid w:val="002830C2"/>
    <w:rsid w:val="00286F8B"/>
    <w:rsid w:val="00291732"/>
    <w:rsid w:val="002A017F"/>
    <w:rsid w:val="002A1161"/>
    <w:rsid w:val="002A6C5C"/>
    <w:rsid w:val="002B11E6"/>
    <w:rsid w:val="002D2E1B"/>
    <w:rsid w:val="002D5629"/>
    <w:rsid w:val="002D601A"/>
    <w:rsid w:val="002E5987"/>
    <w:rsid w:val="002E600A"/>
    <w:rsid w:val="002F2857"/>
    <w:rsid w:val="002F70F0"/>
    <w:rsid w:val="00300BE7"/>
    <w:rsid w:val="00303F5E"/>
    <w:rsid w:val="0030608E"/>
    <w:rsid w:val="00324407"/>
    <w:rsid w:val="00334F8F"/>
    <w:rsid w:val="00340FB6"/>
    <w:rsid w:val="00342D1C"/>
    <w:rsid w:val="00344047"/>
    <w:rsid w:val="003464B3"/>
    <w:rsid w:val="00352333"/>
    <w:rsid w:val="00352B27"/>
    <w:rsid w:val="0035416F"/>
    <w:rsid w:val="003630C8"/>
    <w:rsid w:val="00390AAB"/>
    <w:rsid w:val="003B04AF"/>
    <w:rsid w:val="003B292C"/>
    <w:rsid w:val="003B54E7"/>
    <w:rsid w:val="003D0851"/>
    <w:rsid w:val="003D5171"/>
    <w:rsid w:val="003E0236"/>
    <w:rsid w:val="003E2197"/>
    <w:rsid w:val="00424BDD"/>
    <w:rsid w:val="0042506A"/>
    <w:rsid w:val="00436502"/>
    <w:rsid w:val="0044314F"/>
    <w:rsid w:val="00453A69"/>
    <w:rsid w:val="00457EB0"/>
    <w:rsid w:val="00463BB4"/>
    <w:rsid w:val="00465CE8"/>
    <w:rsid w:val="00481C30"/>
    <w:rsid w:val="00485D87"/>
    <w:rsid w:val="004867CF"/>
    <w:rsid w:val="004929CD"/>
    <w:rsid w:val="004A73DB"/>
    <w:rsid w:val="004A78FC"/>
    <w:rsid w:val="004B06A0"/>
    <w:rsid w:val="004B17AF"/>
    <w:rsid w:val="004B27B7"/>
    <w:rsid w:val="004B705F"/>
    <w:rsid w:val="004C594C"/>
    <w:rsid w:val="004E0477"/>
    <w:rsid w:val="004E6CB7"/>
    <w:rsid w:val="00505401"/>
    <w:rsid w:val="005072C0"/>
    <w:rsid w:val="00520A02"/>
    <w:rsid w:val="00521D21"/>
    <w:rsid w:val="00533799"/>
    <w:rsid w:val="00546E93"/>
    <w:rsid w:val="00552705"/>
    <w:rsid w:val="0056502D"/>
    <w:rsid w:val="005A2F92"/>
    <w:rsid w:val="005A4D01"/>
    <w:rsid w:val="005B2F48"/>
    <w:rsid w:val="005C2C9A"/>
    <w:rsid w:val="005C42F0"/>
    <w:rsid w:val="005C5686"/>
    <w:rsid w:val="005C7127"/>
    <w:rsid w:val="005D0414"/>
    <w:rsid w:val="005E3E1E"/>
    <w:rsid w:val="006073B5"/>
    <w:rsid w:val="00614630"/>
    <w:rsid w:val="00620FA1"/>
    <w:rsid w:val="006355C3"/>
    <w:rsid w:val="00640480"/>
    <w:rsid w:val="00640F63"/>
    <w:rsid w:val="006439D3"/>
    <w:rsid w:val="00643BE3"/>
    <w:rsid w:val="00655130"/>
    <w:rsid w:val="00661D0A"/>
    <w:rsid w:val="00670B55"/>
    <w:rsid w:val="00673776"/>
    <w:rsid w:val="00674D55"/>
    <w:rsid w:val="0067604C"/>
    <w:rsid w:val="00686F2C"/>
    <w:rsid w:val="006900F1"/>
    <w:rsid w:val="006B6749"/>
    <w:rsid w:val="006C0521"/>
    <w:rsid w:val="006C766A"/>
    <w:rsid w:val="006D3CF6"/>
    <w:rsid w:val="006E734A"/>
    <w:rsid w:val="00700EDA"/>
    <w:rsid w:val="0070460E"/>
    <w:rsid w:val="007046D0"/>
    <w:rsid w:val="00706BE5"/>
    <w:rsid w:val="0072390B"/>
    <w:rsid w:val="0074715C"/>
    <w:rsid w:val="007624E7"/>
    <w:rsid w:val="00762F95"/>
    <w:rsid w:val="007633BE"/>
    <w:rsid w:val="00770773"/>
    <w:rsid w:val="00772052"/>
    <w:rsid w:val="00777EED"/>
    <w:rsid w:val="007860BB"/>
    <w:rsid w:val="00794534"/>
    <w:rsid w:val="007B0875"/>
    <w:rsid w:val="007B6517"/>
    <w:rsid w:val="007D19C1"/>
    <w:rsid w:val="007D58FE"/>
    <w:rsid w:val="007D75D4"/>
    <w:rsid w:val="007F288F"/>
    <w:rsid w:val="008015EA"/>
    <w:rsid w:val="008261D3"/>
    <w:rsid w:val="00840BC8"/>
    <w:rsid w:val="00851874"/>
    <w:rsid w:val="0086421C"/>
    <w:rsid w:val="008642CC"/>
    <w:rsid w:val="00874930"/>
    <w:rsid w:val="008818A9"/>
    <w:rsid w:val="008860ED"/>
    <w:rsid w:val="008A04CE"/>
    <w:rsid w:val="008A3C69"/>
    <w:rsid w:val="008B14A2"/>
    <w:rsid w:val="008C25CB"/>
    <w:rsid w:val="008C4871"/>
    <w:rsid w:val="008F3FEB"/>
    <w:rsid w:val="00900A88"/>
    <w:rsid w:val="00901102"/>
    <w:rsid w:val="00913330"/>
    <w:rsid w:val="0092185F"/>
    <w:rsid w:val="009318D8"/>
    <w:rsid w:val="0094530C"/>
    <w:rsid w:val="00974432"/>
    <w:rsid w:val="00982ECC"/>
    <w:rsid w:val="009935C4"/>
    <w:rsid w:val="009B7E51"/>
    <w:rsid w:val="009C0F3A"/>
    <w:rsid w:val="009D3A71"/>
    <w:rsid w:val="009E1884"/>
    <w:rsid w:val="009E6FD5"/>
    <w:rsid w:val="00A0782C"/>
    <w:rsid w:val="00A13CB4"/>
    <w:rsid w:val="00A15788"/>
    <w:rsid w:val="00A167DB"/>
    <w:rsid w:val="00A3090E"/>
    <w:rsid w:val="00A314C2"/>
    <w:rsid w:val="00A36D0F"/>
    <w:rsid w:val="00A42B44"/>
    <w:rsid w:val="00A4747B"/>
    <w:rsid w:val="00A47A75"/>
    <w:rsid w:val="00A553C2"/>
    <w:rsid w:val="00A92DC6"/>
    <w:rsid w:val="00AA62AE"/>
    <w:rsid w:val="00AB090F"/>
    <w:rsid w:val="00AC1E5D"/>
    <w:rsid w:val="00AC3C95"/>
    <w:rsid w:val="00AD280D"/>
    <w:rsid w:val="00AD2AA5"/>
    <w:rsid w:val="00AD5B8F"/>
    <w:rsid w:val="00AE7697"/>
    <w:rsid w:val="00AF428F"/>
    <w:rsid w:val="00B0117C"/>
    <w:rsid w:val="00B027B0"/>
    <w:rsid w:val="00B0760C"/>
    <w:rsid w:val="00B10C63"/>
    <w:rsid w:val="00B163CF"/>
    <w:rsid w:val="00B21067"/>
    <w:rsid w:val="00B268BD"/>
    <w:rsid w:val="00B27BFE"/>
    <w:rsid w:val="00B35871"/>
    <w:rsid w:val="00B36C98"/>
    <w:rsid w:val="00B47A59"/>
    <w:rsid w:val="00B56155"/>
    <w:rsid w:val="00B57EC4"/>
    <w:rsid w:val="00B622B1"/>
    <w:rsid w:val="00B65109"/>
    <w:rsid w:val="00B65AF7"/>
    <w:rsid w:val="00B75BF3"/>
    <w:rsid w:val="00B95F52"/>
    <w:rsid w:val="00B96C57"/>
    <w:rsid w:val="00B975B7"/>
    <w:rsid w:val="00BA100C"/>
    <w:rsid w:val="00BB695B"/>
    <w:rsid w:val="00BC18B6"/>
    <w:rsid w:val="00BC7026"/>
    <w:rsid w:val="00BF0AF3"/>
    <w:rsid w:val="00BF5D2A"/>
    <w:rsid w:val="00C04E56"/>
    <w:rsid w:val="00C13099"/>
    <w:rsid w:val="00C17234"/>
    <w:rsid w:val="00C22023"/>
    <w:rsid w:val="00C349DE"/>
    <w:rsid w:val="00C41A38"/>
    <w:rsid w:val="00C528D7"/>
    <w:rsid w:val="00C75048"/>
    <w:rsid w:val="00C84198"/>
    <w:rsid w:val="00C85B10"/>
    <w:rsid w:val="00CA342F"/>
    <w:rsid w:val="00CB17AA"/>
    <w:rsid w:val="00CB54D0"/>
    <w:rsid w:val="00CC10F5"/>
    <w:rsid w:val="00CC65F1"/>
    <w:rsid w:val="00CD06DF"/>
    <w:rsid w:val="00CD23D5"/>
    <w:rsid w:val="00CD5965"/>
    <w:rsid w:val="00CE1DBA"/>
    <w:rsid w:val="00CF2818"/>
    <w:rsid w:val="00CF6117"/>
    <w:rsid w:val="00D026E5"/>
    <w:rsid w:val="00D03F7D"/>
    <w:rsid w:val="00D059DD"/>
    <w:rsid w:val="00D11E63"/>
    <w:rsid w:val="00D15BF6"/>
    <w:rsid w:val="00D21F63"/>
    <w:rsid w:val="00D231B2"/>
    <w:rsid w:val="00D254B4"/>
    <w:rsid w:val="00D31218"/>
    <w:rsid w:val="00D4527C"/>
    <w:rsid w:val="00D51A21"/>
    <w:rsid w:val="00D56EAA"/>
    <w:rsid w:val="00D66A67"/>
    <w:rsid w:val="00D82915"/>
    <w:rsid w:val="00D83A7A"/>
    <w:rsid w:val="00D92B82"/>
    <w:rsid w:val="00DA22D7"/>
    <w:rsid w:val="00DB4D1D"/>
    <w:rsid w:val="00DB6DF5"/>
    <w:rsid w:val="00DC5236"/>
    <w:rsid w:val="00DD7B70"/>
    <w:rsid w:val="00DE5193"/>
    <w:rsid w:val="00DF2F94"/>
    <w:rsid w:val="00E00F29"/>
    <w:rsid w:val="00E012C2"/>
    <w:rsid w:val="00E01FA5"/>
    <w:rsid w:val="00E07FDF"/>
    <w:rsid w:val="00E10F61"/>
    <w:rsid w:val="00E251AA"/>
    <w:rsid w:val="00E457FC"/>
    <w:rsid w:val="00E57832"/>
    <w:rsid w:val="00E622E7"/>
    <w:rsid w:val="00E633F5"/>
    <w:rsid w:val="00E6506D"/>
    <w:rsid w:val="00E72EA6"/>
    <w:rsid w:val="00E74241"/>
    <w:rsid w:val="00E81634"/>
    <w:rsid w:val="00E85670"/>
    <w:rsid w:val="00EF54B4"/>
    <w:rsid w:val="00EF5B94"/>
    <w:rsid w:val="00F01D85"/>
    <w:rsid w:val="00F03086"/>
    <w:rsid w:val="00F0764C"/>
    <w:rsid w:val="00F104AE"/>
    <w:rsid w:val="00F104EC"/>
    <w:rsid w:val="00F15600"/>
    <w:rsid w:val="00F168D8"/>
    <w:rsid w:val="00F2224D"/>
    <w:rsid w:val="00F31EC5"/>
    <w:rsid w:val="00F338F3"/>
    <w:rsid w:val="00F33B18"/>
    <w:rsid w:val="00F36336"/>
    <w:rsid w:val="00F41E16"/>
    <w:rsid w:val="00F6237A"/>
    <w:rsid w:val="00F72FEB"/>
    <w:rsid w:val="00F74AB3"/>
    <w:rsid w:val="00F81A37"/>
    <w:rsid w:val="00F83BF4"/>
    <w:rsid w:val="00FB177A"/>
    <w:rsid w:val="00FB2C80"/>
    <w:rsid w:val="00FC0DA3"/>
    <w:rsid w:val="00FC500D"/>
    <w:rsid w:val="00FC6A3E"/>
    <w:rsid w:val="00FE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8CB71D-C6AA-D848-922A-91686F0B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41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C22023"/>
    <w:pPr>
      <w:tabs>
        <w:tab w:val="center" w:pos="4320"/>
        <w:tab w:val="right" w:pos="8640"/>
      </w:tabs>
    </w:pPr>
    <w:rPr>
      <w:sz w:val="22"/>
    </w:rPr>
  </w:style>
  <w:style w:type="paragraph" w:styleId="FootnoteText">
    <w:name w:val="footnote text"/>
    <w:basedOn w:val="Normal"/>
    <w:semiHidden/>
    <w:rsid w:val="00C22023"/>
    <w:rPr>
      <w:sz w:val="20"/>
      <w:szCs w:val="20"/>
    </w:rPr>
  </w:style>
  <w:style w:type="paragraph" w:styleId="Header">
    <w:name w:val="header"/>
    <w:basedOn w:val="Normal"/>
    <w:link w:val="HeaderChar"/>
    <w:uiPriority w:val="99"/>
    <w:rsid w:val="007B6517"/>
    <w:pPr>
      <w:tabs>
        <w:tab w:val="center" w:pos="4320"/>
        <w:tab w:val="right" w:pos="8640"/>
      </w:tabs>
    </w:pPr>
  </w:style>
  <w:style w:type="character" w:styleId="PageNumber">
    <w:name w:val="page number"/>
    <w:basedOn w:val="DefaultParagraphFont"/>
    <w:rsid w:val="007B6517"/>
  </w:style>
  <w:style w:type="character" w:customStyle="1" w:styleId="HeaderChar">
    <w:name w:val="Header Char"/>
    <w:basedOn w:val="DefaultParagraphFont"/>
    <w:link w:val="Header"/>
    <w:uiPriority w:val="99"/>
    <w:locked/>
    <w:rsid w:val="00E57832"/>
    <w:rPr>
      <w:sz w:val="24"/>
      <w:szCs w:val="24"/>
    </w:rPr>
  </w:style>
  <w:style w:type="character" w:customStyle="1" w:styleId="FooterChar">
    <w:name w:val="Footer Char"/>
    <w:basedOn w:val="DefaultParagraphFont"/>
    <w:link w:val="Footer"/>
    <w:uiPriority w:val="99"/>
    <w:locked/>
    <w:rsid w:val="0072390B"/>
    <w:rPr>
      <w:sz w:val="22"/>
      <w:szCs w:val="24"/>
    </w:rPr>
  </w:style>
  <w:style w:type="character" w:styleId="Hyperlink">
    <w:name w:val="Hyperlink"/>
    <w:basedOn w:val="DefaultParagraphFont"/>
    <w:uiPriority w:val="99"/>
    <w:rsid w:val="0072390B"/>
    <w:rPr>
      <w:rFonts w:cs="Times New Roman"/>
      <w:color w:val="0000FF"/>
      <w:u w:val="single"/>
    </w:rPr>
  </w:style>
  <w:style w:type="paragraph" w:styleId="BodyText2">
    <w:name w:val="Body Text 2"/>
    <w:basedOn w:val="Normal"/>
    <w:link w:val="BodyText2Char"/>
    <w:uiPriority w:val="99"/>
    <w:rsid w:val="0072390B"/>
    <w:pPr>
      <w:spacing w:after="120" w:line="480" w:lineRule="auto"/>
    </w:pPr>
  </w:style>
  <w:style w:type="character" w:customStyle="1" w:styleId="BodyText2Char">
    <w:name w:val="Body Text 2 Char"/>
    <w:basedOn w:val="DefaultParagraphFont"/>
    <w:link w:val="BodyText2"/>
    <w:uiPriority w:val="99"/>
    <w:rsid w:val="0072390B"/>
    <w:rPr>
      <w:sz w:val="24"/>
      <w:szCs w:val="24"/>
    </w:rPr>
  </w:style>
  <w:style w:type="paragraph" w:styleId="ListParagraph">
    <w:name w:val="List Paragraph"/>
    <w:basedOn w:val="Normal"/>
    <w:uiPriority w:val="99"/>
    <w:qFormat/>
    <w:rsid w:val="002E600A"/>
    <w:pPr>
      <w:ind w:left="720"/>
      <w:contextualSpacing/>
    </w:pPr>
    <w:rPr>
      <w:rFonts w:eastAsia="Calibri"/>
      <w:szCs w:val="22"/>
    </w:rPr>
  </w:style>
  <w:style w:type="paragraph" w:styleId="BodyTextIndent">
    <w:name w:val="Body Text Indent"/>
    <w:basedOn w:val="Normal"/>
    <w:link w:val="BodyTextIndentChar"/>
    <w:uiPriority w:val="99"/>
    <w:rsid w:val="002E600A"/>
    <w:pPr>
      <w:spacing w:after="120"/>
      <w:ind w:left="360"/>
    </w:pPr>
    <w:rPr>
      <w:rFonts w:eastAsia="Calibri"/>
      <w:szCs w:val="22"/>
    </w:rPr>
  </w:style>
  <w:style w:type="character" w:customStyle="1" w:styleId="BodyTextIndentChar">
    <w:name w:val="Body Text Indent Char"/>
    <w:basedOn w:val="DefaultParagraphFont"/>
    <w:link w:val="BodyTextIndent"/>
    <w:uiPriority w:val="99"/>
    <w:rsid w:val="002E600A"/>
    <w:rPr>
      <w:rFonts w:eastAsia="Calibri"/>
      <w:sz w:val="24"/>
      <w:szCs w:val="22"/>
    </w:rPr>
  </w:style>
  <w:style w:type="paragraph" w:customStyle="1" w:styleId="Default">
    <w:name w:val="Default"/>
    <w:rsid w:val="00465CE8"/>
    <w:pPr>
      <w:widowControl w:val="0"/>
      <w:autoSpaceDE w:val="0"/>
      <w:autoSpaceDN w:val="0"/>
      <w:adjustRightInd w:val="0"/>
    </w:pPr>
    <w:rPr>
      <w:color w:val="000000"/>
      <w:sz w:val="24"/>
      <w:szCs w:val="24"/>
    </w:rPr>
  </w:style>
  <w:style w:type="paragraph" w:styleId="BodyTextIndent2">
    <w:name w:val="Body Text Indent 2"/>
    <w:basedOn w:val="Normal"/>
    <w:link w:val="BodyTextIndent2Char"/>
    <w:uiPriority w:val="99"/>
    <w:rsid w:val="00CF2818"/>
    <w:pPr>
      <w:spacing w:after="120" w:line="480" w:lineRule="auto"/>
      <w:ind w:left="360"/>
    </w:pPr>
    <w:rPr>
      <w:rFonts w:eastAsia="Calibri"/>
      <w:szCs w:val="22"/>
    </w:rPr>
  </w:style>
  <w:style w:type="character" w:customStyle="1" w:styleId="BodyTextIndent2Char">
    <w:name w:val="Body Text Indent 2 Char"/>
    <w:basedOn w:val="DefaultParagraphFont"/>
    <w:link w:val="BodyTextIndent2"/>
    <w:uiPriority w:val="99"/>
    <w:rsid w:val="00CF2818"/>
    <w:rPr>
      <w:rFonts w:eastAsia="Calibri"/>
      <w:sz w:val="24"/>
      <w:szCs w:val="22"/>
    </w:rPr>
  </w:style>
  <w:style w:type="paragraph" w:styleId="BodyTextIndent3">
    <w:name w:val="Body Text Indent 3"/>
    <w:basedOn w:val="Normal"/>
    <w:link w:val="BodyTextIndent3Char"/>
    <w:uiPriority w:val="99"/>
    <w:rsid w:val="00F83BF4"/>
    <w:pPr>
      <w:spacing w:after="120"/>
      <w:ind w:left="360"/>
    </w:pPr>
    <w:rPr>
      <w:sz w:val="16"/>
      <w:szCs w:val="16"/>
    </w:rPr>
  </w:style>
  <w:style w:type="character" w:customStyle="1" w:styleId="BodyTextIndent3Char">
    <w:name w:val="Body Text Indent 3 Char"/>
    <w:basedOn w:val="DefaultParagraphFont"/>
    <w:link w:val="BodyTextIndent3"/>
    <w:uiPriority w:val="99"/>
    <w:rsid w:val="00F83BF4"/>
    <w:rPr>
      <w:sz w:val="16"/>
      <w:szCs w:val="16"/>
    </w:rPr>
  </w:style>
  <w:style w:type="paragraph" w:styleId="BodyText">
    <w:name w:val="Body Text"/>
    <w:basedOn w:val="Normal"/>
    <w:link w:val="BodyTextChar"/>
    <w:rsid w:val="00FE6644"/>
    <w:pPr>
      <w:spacing w:after="120"/>
    </w:pPr>
  </w:style>
  <w:style w:type="character" w:customStyle="1" w:styleId="BodyTextChar">
    <w:name w:val="Body Text Char"/>
    <w:basedOn w:val="DefaultParagraphFont"/>
    <w:link w:val="BodyText"/>
    <w:rsid w:val="00FE66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48685">
      <w:bodyDiv w:val="1"/>
      <w:marLeft w:val="0"/>
      <w:marRight w:val="0"/>
      <w:marTop w:val="0"/>
      <w:marBottom w:val="0"/>
      <w:divBdr>
        <w:top w:val="none" w:sz="0" w:space="0" w:color="auto"/>
        <w:left w:val="none" w:sz="0" w:space="0" w:color="auto"/>
        <w:bottom w:val="none" w:sz="0" w:space="0" w:color="auto"/>
        <w:right w:val="none" w:sz="0" w:space="0" w:color="auto"/>
      </w:divBdr>
    </w:div>
    <w:div w:id="14010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8C0A-B2D6-44B0-92EF-944DC1CC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5030</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
    </vt:vector>
  </TitlesOfParts>
  <Company>IBHE</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Microsoft Office User</cp:lastModifiedBy>
  <cp:revision>2</cp:revision>
  <cp:lastPrinted>2007-09-19T16:05:00Z</cp:lastPrinted>
  <dcterms:created xsi:type="dcterms:W3CDTF">2023-11-16T18:35:00Z</dcterms:created>
  <dcterms:modified xsi:type="dcterms:W3CDTF">2023-11-16T18:35:00Z</dcterms:modified>
</cp:coreProperties>
</file>